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5A8B">
      <w:pPr>
        <w:tabs>
          <w:tab w:val="left" w:pos="4668"/>
        </w:tabs>
        <w:jc w:val="center"/>
        <w:rPr>
          <w:rFonts w:ascii="宋体" w:hAnsi="宋体" w:cs="宋体"/>
          <w:b/>
          <w:sz w:val="36"/>
          <w:szCs w:val="36"/>
        </w:rPr>
      </w:pPr>
      <w:bookmarkStart w:id="0" w:name="OLE_LINK5"/>
      <w:bookmarkStart w:id="1" w:name="OLE_LINK6"/>
      <w:bookmarkStart w:id="2" w:name="OLE_LINK1"/>
    </w:p>
    <w:p w14:paraId="58D9A889">
      <w:pPr>
        <w:tabs>
          <w:tab w:val="left" w:pos="4668"/>
        </w:tabs>
        <w:jc w:val="center"/>
        <w:rPr>
          <w:rFonts w:ascii="宋体" w:hAnsi="宋体" w:cs="宋体"/>
          <w:b/>
          <w:sz w:val="100"/>
          <w:szCs w:val="100"/>
        </w:rPr>
      </w:pPr>
      <w:r>
        <w:rPr>
          <w:rFonts w:hint="eastAsia" w:ascii="宋体" w:hAnsi="宋体" w:eastAsia="宋体" w:cs="宋体"/>
          <w:b/>
          <w:spacing w:val="-17"/>
          <w:sz w:val="36"/>
          <w:szCs w:val="36"/>
          <w:lang w:val="en-US" w:eastAsia="zh-CN"/>
        </w:rPr>
        <w:t>启东市城市水处理有限公司出水COD、TP、PH在线仪表采购项目</w:t>
      </w:r>
    </w:p>
    <w:p w14:paraId="37C272BD">
      <w:pPr>
        <w:jc w:val="center"/>
        <w:rPr>
          <w:rFonts w:ascii="宋体" w:hAnsi="宋体" w:cs="宋体"/>
          <w:b/>
          <w:sz w:val="100"/>
          <w:szCs w:val="100"/>
        </w:rPr>
      </w:pPr>
    </w:p>
    <w:p w14:paraId="72496D56">
      <w:pPr>
        <w:pStyle w:val="10"/>
      </w:pPr>
    </w:p>
    <w:p w14:paraId="27DBBDDE">
      <w:pPr>
        <w:jc w:val="center"/>
        <w:rPr>
          <w:rFonts w:ascii="仿宋" w:hAnsi="仿宋" w:eastAsia="仿宋" w:cs="仿宋"/>
          <w:b/>
          <w:sz w:val="100"/>
          <w:szCs w:val="100"/>
        </w:rPr>
      </w:pPr>
      <w:r>
        <w:rPr>
          <w:rFonts w:hint="eastAsia" w:ascii="仿宋" w:hAnsi="仿宋" w:eastAsia="仿宋" w:cs="仿宋"/>
          <w:b/>
          <w:sz w:val="100"/>
          <w:szCs w:val="100"/>
        </w:rPr>
        <w:t>采购询价文件</w:t>
      </w:r>
    </w:p>
    <w:p w14:paraId="45091DD8">
      <w:pPr>
        <w:keepNext/>
        <w:spacing w:line="500" w:lineRule="exact"/>
        <w:jc w:val="center"/>
        <w:outlineLvl w:val="5"/>
        <w:rPr>
          <w:rFonts w:ascii="宋体" w:hAnsi="宋体" w:cs="宋体"/>
          <w:b/>
          <w:kern w:val="0"/>
          <w:sz w:val="44"/>
          <w:szCs w:val="20"/>
        </w:rPr>
      </w:pPr>
    </w:p>
    <w:p w14:paraId="579B74C9">
      <w:pPr>
        <w:keepNext/>
        <w:spacing w:line="500" w:lineRule="exact"/>
        <w:outlineLvl w:val="5"/>
        <w:rPr>
          <w:rFonts w:ascii="宋体" w:hAnsi="宋体" w:cs="宋体"/>
          <w:b/>
          <w:kern w:val="0"/>
          <w:sz w:val="36"/>
          <w:szCs w:val="36"/>
        </w:rPr>
      </w:pPr>
    </w:p>
    <w:p w14:paraId="28F0987C">
      <w:pPr>
        <w:spacing w:line="500" w:lineRule="exact"/>
        <w:rPr>
          <w:rFonts w:ascii="宋体" w:hAnsi="宋体" w:cs="宋体"/>
        </w:rPr>
      </w:pPr>
    </w:p>
    <w:p w14:paraId="35579819">
      <w:pPr>
        <w:spacing w:line="500" w:lineRule="exact"/>
        <w:rPr>
          <w:rFonts w:ascii="宋体" w:hAnsi="宋体" w:cs="宋体"/>
          <w:sz w:val="32"/>
        </w:rPr>
      </w:pPr>
    </w:p>
    <w:p w14:paraId="1794A888">
      <w:pPr>
        <w:spacing w:line="500" w:lineRule="exact"/>
        <w:jc w:val="center"/>
        <w:rPr>
          <w:rFonts w:ascii="宋体" w:hAnsi="宋体" w:cs="宋体"/>
          <w:sz w:val="32"/>
        </w:rPr>
      </w:pPr>
    </w:p>
    <w:p w14:paraId="79BCD59D">
      <w:pPr>
        <w:spacing w:line="312" w:lineRule="auto"/>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4536866C">
      <w:pPr>
        <w:adjustRightInd w:val="0"/>
        <w:spacing w:before="120" w:after="120" w:line="500" w:lineRule="exact"/>
        <w:ind w:left="-2" w:right="120"/>
        <w:jc w:val="center"/>
        <w:textAlignment w:val="baseline"/>
        <w:rPr>
          <w:rFonts w:ascii="仿宋" w:hAnsi="仿宋" w:eastAsia="仿宋" w:cs="仿宋"/>
          <w:b/>
          <w:bCs/>
          <w:kern w:val="0"/>
          <w:sz w:val="32"/>
        </w:rPr>
      </w:pPr>
      <w:r>
        <w:rPr>
          <w:rFonts w:hint="eastAsia" w:ascii="仿宋" w:hAnsi="仿宋" w:eastAsia="仿宋" w:cs="仿宋"/>
          <w:b/>
          <w:bCs/>
          <w:kern w:val="0"/>
          <w:sz w:val="32"/>
          <w:u w:val="single"/>
        </w:rPr>
        <w:t xml:space="preserve">  202</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u w:val="single"/>
        </w:rPr>
        <w:t xml:space="preserve">  </w:t>
      </w:r>
      <w:r>
        <w:rPr>
          <w:rFonts w:hint="eastAsia" w:ascii="仿宋" w:hAnsi="仿宋" w:eastAsia="仿宋" w:cs="仿宋"/>
          <w:b/>
          <w:bCs/>
          <w:kern w:val="0"/>
          <w:sz w:val="32"/>
        </w:rPr>
        <w:t>年</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rPr>
        <w:t>月</w:t>
      </w:r>
      <w:r>
        <w:rPr>
          <w:rFonts w:hint="eastAsia" w:ascii="仿宋" w:hAnsi="仿宋" w:eastAsia="仿宋" w:cs="仿宋"/>
          <w:b/>
          <w:bCs/>
          <w:kern w:val="0"/>
          <w:sz w:val="32"/>
          <w:u w:val="single"/>
          <w:lang w:val="en-US" w:eastAsia="zh-CN"/>
        </w:rPr>
        <w:t>5</w:t>
      </w:r>
      <w:r>
        <w:rPr>
          <w:rFonts w:hint="eastAsia" w:ascii="仿宋" w:hAnsi="仿宋" w:eastAsia="仿宋" w:cs="仿宋"/>
          <w:b/>
          <w:bCs/>
          <w:kern w:val="0"/>
          <w:sz w:val="32"/>
        </w:rPr>
        <w:t>日</w:t>
      </w:r>
    </w:p>
    <w:p w14:paraId="51523FB4">
      <w:pPr>
        <w:adjustRightInd w:val="0"/>
        <w:spacing w:before="120" w:after="120" w:line="500" w:lineRule="exact"/>
        <w:ind w:left="-2" w:right="120"/>
        <w:jc w:val="center"/>
        <w:textAlignment w:val="baseline"/>
        <w:rPr>
          <w:rFonts w:ascii="仿宋" w:hAnsi="仿宋" w:eastAsia="仿宋" w:cs="仿宋"/>
          <w:b/>
          <w:bCs/>
          <w:kern w:val="0"/>
          <w:sz w:val="32"/>
        </w:rPr>
      </w:pPr>
    </w:p>
    <w:p w14:paraId="15B7D380">
      <w:pPr>
        <w:pStyle w:val="10"/>
        <w:rPr>
          <w:rFonts w:ascii="仿宋" w:hAnsi="仿宋" w:eastAsia="仿宋" w:cs="仿宋"/>
          <w:b/>
          <w:bCs/>
          <w:sz w:val="32"/>
        </w:rPr>
      </w:pPr>
    </w:p>
    <w:p w14:paraId="0B195E41"/>
    <w:p w14:paraId="1C1404BD">
      <w:pPr>
        <w:adjustRightInd w:val="0"/>
        <w:snapToGrid w:val="0"/>
        <w:spacing w:line="500" w:lineRule="exact"/>
        <w:ind w:left="-158" w:leftChars="-75"/>
        <w:rPr>
          <w:rFonts w:ascii="仿宋" w:hAnsi="仿宋" w:eastAsia="仿宋" w:cs="仿宋"/>
          <w:b/>
          <w:snapToGrid w:val="0"/>
          <w:sz w:val="26"/>
          <w:szCs w:val="28"/>
          <w:u w:val="single"/>
        </w:rPr>
      </w:pPr>
    </w:p>
    <w:p w14:paraId="3F8EC9A0">
      <w:pPr>
        <w:adjustRightInd w:val="0"/>
        <w:snapToGrid w:val="0"/>
        <w:ind w:left="-158" w:leftChars="-75"/>
        <w:jc w:val="left"/>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25BC613E">
      <w:pPr>
        <w:adjustRightInd w:val="0"/>
        <w:snapToGrid w:val="0"/>
        <w:ind w:left="-158" w:leftChars="-75"/>
        <w:rPr>
          <w:rFonts w:ascii="仿宋" w:hAnsi="仿宋" w:eastAsia="仿宋" w:cs="仿宋"/>
          <w:b/>
          <w:snapToGrid w:val="0"/>
          <w:sz w:val="32"/>
          <w:szCs w:val="32"/>
        </w:rPr>
      </w:pPr>
      <w:r>
        <w:rPr>
          <w:rFonts w:hint="eastAsia" w:ascii="仿宋" w:hAnsi="仿宋" w:eastAsia="仿宋" w:cs="仿宋"/>
          <w:b/>
          <w:snapToGrid w:val="0"/>
          <w:sz w:val="32"/>
          <w:szCs w:val="32"/>
        </w:rPr>
        <w:t xml:space="preserve">邮政编码：226200        </w:t>
      </w:r>
    </w:p>
    <w:p w14:paraId="0CBE083A">
      <w:pPr>
        <w:adjustRightInd w:val="0"/>
        <w:snapToGrid w:val="0"/>
        <w:ind w:left="-158" w:leftChars="-75"/>
        <w:rPr>
          <w:rFonts w:ascii="宋体" w:hAnsi="宋体" w:cs="宋体"/>
          <w:bCs/>
          <w:spacing w:val="7"/>
          <w:kern w:val="0"/>
          <w:sz w:val="44"/>
          <w:szCs w:val="44"/>
        </w:rPr>
      </w:pPr>
      <w:r>
        <w:rPr>
          <w:rFonts w:hint="eastAsia" w:ascii="仿宋" w:hAnsi="仿宋" w:eastAsia="仿宋" w:cs="仿宋"/>
          <w:b/>
          <w:snapToGrid w:val="0"/>
          <w:sz w:val="32"/>
          <w:szCs w:val="32"/>
        </w:rPr>
        <w:t>网址：启东市城市水处理有限公司网站</w:t>
      </w:r>
    </w:p>
    <w:p w14:paraId="1D838728">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7CEF7DF9">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29D6A6C4">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2C40DD0A">
      <w:pPr>
        <w:autoSpaceDE w:val="0"/>
        <w:autoSpaceDN w:val="0"/>
        <w:adjustRightInd w:val="0"/>
        <w:snapToGrid w:val="0"/>
        <w:spacing w:line="360" w:lineRule="auto"/>
        <w:rPr>
          <w:rFonts w:ascii="仿宋" w:hAnsi="仿宋" w:eastAsia="仿宋" w:cs="仿宋"/>
          <w:bCs/>
          <w:spacing w:val="7"/>
          <w:kern w:val="0"/>
          <w:sz w:val="28"/>
          <w:szCs w:val="28"/>
        </w:rPr>
      </w:pPr>
    </w:p>
    <w:p w14:paraId="6165F96E">
      <w:pPr>
        <w:pStyle w:val="10"/>
        <w:adjustRightInd w:val="0"/>
        <w:snapToGrid w:val="0"/>
        <w:spacing w:after="0" w:line="360" w:lineRule="auto"/>
        <w:rPr>
          <w:rFonts w:ascii="仿宋" w:hAnsi="仿宋" w:eastAsia="仿宋" w:cs="仿宋"/>
        </w:rPr>
      </w:pPr>
    </w:p>
    <w:p w14:paraId="2D2D9D51">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7A97B2E8">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31CBE6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09CF4570">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01BA0F45">
      <w:pPr>
        <w:pStyle w:val="16"/>
        <w:widowControl/>
        <w:spacing w:line="460" w:lineRule="exact"/>
        <w:jc w:val="center"/>
        <w:rPr>
          <w:rFonts w:ascii="宋体" w:hAnsi="宋体" w:cs="宋体"/>
          <w:b/>
          <w:sz w:val="36"/>
          <w:szCs w:val="36"/>
        </w:rPr>
      </w:pPr>
    </w:p>
    <w:p w14:paraId="35EC9D3E">
      <w:pPr>
        <w:pStyle w:val="16"/>
        <w:widowControl/>
        <w:spacing w:line="460" w:lineRule="exact"/>
        <w:jc w:val="center"/>
        <w:rPr>
          <w:rFonts w:ascii="宋体" w:hAnsi="宋体" w:cs="宋体"/>
          <w:b/>
          <w:sz w:val="36"/>
          <w:szCs w:val="36"/>
        </w:rPr>
      </w:pPr>
    </w:p>
    <w:p w14:paraId="26D65FB8">
      <w:pPr>
        <w:pStyle w:val="16"/>
        <w:widowControl/>
        <w:spacing w:line="460" w:lineRule="exact"/>
        <w:jc w:val="center"/>
        <w:rPr>
          <w:rFonts w:ascii="宋体" w:hAnsi="宋体" w:cs="宋体"/>
          <w:b/>
          <w:sz w:val="36"/>
          <w:szCs w:val="36"/>
        </w:rPr>
      </w:pPr>
    </w:p>
    <w:p w14:paraId="53A553F1">
      <w:pPr>
        <w:pStyle w:val="16"/>
        <w:widowControl/>
        <w:spacing w:line="460" w:lineRule="exact"/>
        <w:jc w:val="center"/>
        <w:rPr>
          <w:rFonts w:ascii="宋体" w:hAnsi="宋体" w:cs="宋体"/>
          <w:b/>
          <w:sz w:val="36"/>
          <w:szCs w:val="36"/>
        </w:rPr>
      </w:pPr>
    </w:p>
    <w:p w14:paraId="77742E0A">
      <w:pPr>
        <w:pStyle w:val="16"/>
        <w:widowControl/>
        <w:spacing w:line="460" w:lineRule="exact"/>
        <w:jc w:val="center"/>
        <w:rPr>
          <w:rFonts w:ascii="宋体" w:hAnsi="宋体" w:cs="宋体"/>
          <w:b/>
          <w:sz w:val="36"/>
          <w:szCs w:val="36"/>
        </w:rPr>
      </w:pPr>
    </w:p>
    <w:p w14:paraId="360D4E3C">
      <w:pPr>
        <w:pStyle w:val="16"/>
        <w:widowControl/>
        <w:spacing w:line="460" w:lineRule="exact"/>
        <w:jc w:val="center"/>
        <w:rPr>
          <w:rFonts w:ascii="宋体" w:hAnsi="宋体" w:cs="宋体"/>
          <w:b/>
          <w:sz w:val="36"/>
          <w:szCs w:val="36"/>
        </w:rPr>
      </w:pPr>
    </w:p>
    <w:p w14:paraId="0CD8D7C5">
      <w:pPr>
        <w:pStyle w:val="16"/>
        <w:widowControl/>
        <w:spacing w:line="460" w:lineRule="exact"/>
        <w:jc w:val="center"/>
        <w:rPr>
          <w:rFonts w:ascii="宋体" w:hAnsi="宋体" w:cs="宋体"/>
          <w:b/>
          <w:sz w:val="36"/>
          <w:szCs w:val="36"/>
        </w:rPr>
      </w:pPr>
    </w:p>
    <w:p w14:paraId="2E4BBFD3">
      <w:pPr>
        <w:pStyle w:val="16"/>
        <w:widowControl/>
        <w:spacing w:line="460" w:lineRule="exact"/>
        <w:jc w:val="center"/>
        <w:rPr>
          <w:rFonts w:ascii="宋体" w:hAnsi="宋体" w:cs="宋体"/>
          <w:b/>
          <w:sz w:val="36"/>
          <w:szCs w:val="36"/>
        </w:rPr>
      </w:pPr>
    </w:p>
    <w:p w14:paraId="1DB30983">
      <w:pPr>
        <w:pStyle w:val="16"/>
        <w:widowControl/>
        <w:spacing w:line="460" w:lineRule="exact"/>
        <w:jc w:val="center"/>
        <w:rPr>
          <w:rFonts w:ascii="宋体" w:hAnsi="宋体" w:cs="宋体"/>
          <w:b/>
          <w:sz w:val="36"/>
          <w:szCs w:val="36"/>
        </w:rPr>
      </w:pPr>
    </w:p>
    <w:p w14:paraId="69D7E9E7">
      <w:pPr>
        <w:pStyle w:val="16"/>
        <w:widowControl/>
        <w:spacing w:line="460" w:lineRule="exact"/>
        <w:jc w:val="center"/>
        <w:rPr>
          <w:rFonts w:ascii="宋体" w:hAnsi="宋体" w:cs="宋体"/>
          <w:b/>
          <w:sz w:val="36"/>
          <w:szCs w:val="36"/>
        </w:rPr>
      </w:pPr>
    </w:p>
    <w:p w14:paraId="3573889F">
      <w:pPr>
        <w:pStyle w:val="16"/>
        <w:widowControl/>
        <w:spacing w:line="460" w:lineRule="exact"/>
        <w:jc w:val="center"/>
        <w:rPr>
          <w:rFonts w:ascii="宋体" w:hAnsi="宋体" w:cs="宋体"/>
          <w:b/>
          <w:sz w:val="36"/>
          <w:szCs w:val="36"/>
        </w:rPr>
      </w:pPr>
    </w:p>
    <w:p w14:paraId="3F082D18">
      <w:pPr>
        <w:pStyle w:val="16"/>
        <w:widowControl/>
        <w:spacing w:line="460" w:lineRule="exact"/>
        <w:jc w:val="center"/>
        <w:rPr>
          <w:rFonts w:ascii="宋体" w:hAnsi="宋体" w:cs="宋体"/>
          <w:b/>
          <w:sz w:val="36"/>
          <w:szCs w:val="36"/>
        </w:rPr>
      </w:pPr>
    </w:p>
    <w:p w14:paraId="50D4B7DF">
      <w:pPr>
        <w:pStyle w:val="16"/>
        <w:widowControl/>
        <w:spacing w:line="460" w:lineRule="exact"/>
        <w:jc w:val="center"/>
        <w:rPr>
          <w:rFonts w:ascii="宋体" w:hAnsi="宋体" w:cs="宋体"/>
          <w:b/>
          <w:sz w:val="36"/>
          <w:szCs w:val="36"/>
        </w:rPr>
      </w:pPr>
    </w:p>
    <w:p w14:paraId="55BE945B">
      <w:pPr>
        <w:pStyle w:val="16"/>
        <w:widowControl/>
        <w:spacing w:line="460" w:lineRule="exact"/>
        <w:jc w:val="center"/>
        <w:rPr>
          <w:rFonts w:ascii="宋体" w:hAnsi="宋体" w:cs="宋体"/>
          <w:b/>
          <w:sz w:val="36"/>
          <w:szCs w:val="36"/>
        </w:rPr>
      </w:pPr>
    </w:p>
    <w:p w14:paraId="1FAF0C89">
      <w:pPr>
        <w:pStyle w:val="16"/>
        <w:widowControl/>
        <w:spacing w:line="460" w:lineRule="exact"/>
        <w:jc w:val="center"/>
        <w:rPr>
          <w:rFonts w:ascii="宋体" w:hAnsi="宋体" w:cs="宋体"/>
          <w:b/>
          <w:sz w:val="36"/>
          <w:szCs w:val="36"/>
        </w:rPr>
      </w:pPr>
    </w:p>
    <w:p w14:paraId="4D1BD3D9">
      <w:pPr>
        <w:pStyle w:val="16"/>
        <w:widowControl/>
        <w:spacing w:line="460" w:lineRule="exact"/>
        <w:jc w:val="center"/>
        <w:rPr>
          <w:rFonts w:ascii="宋体" w:hAnsi="宋体" w:cs="宋体"/>
          <w:b/>
          <w:sz w:val="36"/>
          <w:szCs w:val="36"/>
        </w:rPr>
      </w:pPr>
    </w:p>
    <w:p w14:paraId="0F574AD6">
      <w:pPr>
        <w:pStyle w:val="16"/>
        <w:widowControl/>
        <w:spacing w:line="460" w:lineRule="exact"/>
        <w:jc w:val="center"/>
        <w:rPr>
          <w:rFonts w:ascii="宋体" w:hAnsi="宋体" w:cs="宋体"/>
          <w:b/>
          <w:sz w:val="36"/>
          <w:szCs w:val="36"/>
        </w:rPr>
      </w:pPr>
    </w:p>
    <w:p w14:paraId="7C9D88DB">
      <w:pPr>
        <w:pStyle w:val="16"/>
        <w:widowControl/>
        <w:spacing w:line="460" w:lineRule="exact"/>
        <w:jc w:val="center"/>
        <w:rPr>
          <w:rFonts w:ascii="宋体" w:hAnsi="宋体" w:cs="宋体"/>
          <w:b/>
          <w:sz w:val="36"/>
          <w:szCs w:val="36"/>
        </w:rPr>
      </w:pPr>
    </w:p>
    <w:p w14:paraId="7BAC0D92">
      <w:pPr>
        <w:pStyle w:val="16"/>
        <w:widowControl/>
        <w:spacing w:line="460" w:lineRule="exact"/>
        <w:jc w:val="center"/>
        <w:rPr>
          <w:rFonts w:ascii="宋体" w:hAnsi="宋体" w:cs="宋体"/>
          <w:b/>
          <w:sz w:val="36"/>
          <w:szCs w:val="36"/>
        </w:rPr>
      </w:pPr>
    </w:p>
    <w:p w14:paraId="06AA6297">
      <w:pPr>
        <w:pStyle w:val="16"/>
        <w:widowControl/>
        <w:spacing w:line="460" w:lineRule="exact"/>
        <w:jc w:val="center"/>
        <w:rPr>
          <w:rFonts w:ascii="宋体" w:hAnsi="宋体" w:cs="宋体"/>
          <w:b/>
          <w:sz w:val="36"/>
          <w:szCs w:val="36"/>
        </w:rPr>
      </w:pPr>
    </w:p>
    <w:bookmarkEnd w:id="0"/>
    <w:bookmarkEnd w:id="1"/>
    <w:p w14:paraId="1825B336">
      <w:pPr>
        <w:adjustRightInd w:val="0"/>
        <w:snapToGrid w:val="0"/>
        <w:spacing w:line="500" w:lineRule="exact"/>
        <w:jc w:val="center"/>
      </w:pPr>
      <w:bookmarkStart w:id="3" w:name="_Toc3520"/>
      <w:bookmarkStart w:id="4" w:name="_Toc82505651"/>
      <w:bookmarkStart w:id="5" w:name="OLE_LINK31"/>
      <w:bookmarkStart w:id="6" w:name="OLE_LINK32"/>
      <w:r>
        <w:rPr>
          <w:rFonts w:hint="eastAsia" w:ascii="仿宋" w:hAnsi="仿宋" w:eastAsia="仿宋" w:cs="仿宋"/>
          <w:sz w:val="36"/>
          <w:szCs w:val="36"/>
        </w:rPr>
        <w:t>第一部分 询价采购公告</w:t>
      </w:r>
      <w:bookmarkEnd w:id="3"/>
      <w:bookmarkEnd w:id="4"/>
    </w:p>
    <w:p w14:paraId="47A5FFF5">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启东市城市水处理有限公司</w:t>
      </w:r>
      <w:bookmarkEnd w:id="5"/>
      <w:bookmarkEnd w:id="6"/>
      <w:r>
        <w:rPr>
          <w:rFonts w:hint="eastAsia" w:ascii="仿宋" w:hAnsi="仿宋" w:eastAsia="仿宋" w:cs="仿宋"/>
          <w:kern w:val="0"/>
          <w:sz w:val="28"/>
          <w:szCs w:val="28"/>
        </w:rPr>
        <w:t>根据启东市政府采购管理的有关规定，就</w:t>
      </w:r>
      <w:r>
        <w:rPr>
          <w:rFonts w:hint="eastAsia" w:ascii="仿宋" w:hAnsi="仿宋" w:eastAsia="仿宋" w:cs="仿宋"/>
          <w:kern w:val="0"/>
          <w:sz w:val="28"/>
          <w:szCs w:val="28"/>
          <w:lang w:val="en-US" w:eastAsia="zh-CN"/>
        </w:rPr>
        <w:t>启东市城市水处理有限公司出水COD、TP、PH在线仪表采购</w:t>
      </w:r>
      <w:r>
        <w:rPr>
          <w:rFonts w:hint="eastAsia" w:ascii="仿宋" w:hAnsi="仿宋" w:eastAsia="仿宋" w:cs="仿宋"/>
          <w:kern w:val="0"/>
          <w:sz w:val="28"/>
          <w:szCs w:val="28"/>
        </w:rPr>
        <w:t>进行询价采购，欢迎符合条件的供应商响应。</w:t>
      </w:r>
    </w:p>
    <w:p w14:paraId="3BE59685">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6207F96E">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启东市城市水处理有限公司出水COD、TP、PH在线仪表采购项目</w:t>
      </w:r>
      <w:r>
        <w:rPr>
          <w:rFonts w:hint="eastAsia" w:ascii="仿宋" w:hAnsi="仿宋" w:eastAsia="仿宋" w:cs="仿宋"/>
          <w:sz w:val="28"/>
          <w:szCs w:val="28"/>
        </w:rPr>
        <w:t>]的潜在响应供应商应在启东市城市水处理有限公司网站获取采购文件，并于202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点</w:t>
      </w:r>
      <w:r>
        <w:rPr>
          <w:rFonts w:hint="eastAsia" w:ascii="仿宋" w:hAnsi="仿宋" w:eastAsia="仿宋" w:cs="仿宋"/>
          <w:sz w:val="28"/>
          <w:szCs w:val="28"/>
          <w:lang w:val="en-US" w:eastAsia="zh-CN"/>
        </w:rPr>
        <w:t>3</w:t>
      </w:r>
      <w:r>
        <w:rPr>
          <w:rFonts w:hint="eastAsia" w:ascii="仿宋" w:hAnsi="仿宋" w:eastAsia="仿宋" w:cs="仿宋"/>
          <w:sz w:val="28"/>
          <w:szCs w:val="28"/>
        </w:rPr>
        <w:t>0分（北京时间）前递交响应文件。</w:t>
      </w:r>
    </w:p>
    <w:p w14:paraId="77670633">
      <w:pPr>
        <w:adjustRightInd w:val="0"/>
        <w:snapToGrid w:val="0"/>
        <w:spacing w:line="48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121EABE">
      <w:pPr>
        <w:tabs>
          <w:tab w:val="left" w:pos="6860"/>
          <w:tab w:val="left" w:pos="7140"/>
        </w:tabs>
        <w:spacing w:line="4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项目名称：</w:t>
      </w:r>
      <w:r>
        <w:rPr>
          <w:rFonts w:hint="eastAsia" w:ascii="仿宋" w:hAnsi="仿宋" w:eastAsia="仿宋" w:cs="仿宋"/>
          <w:kern w:val="0"/>
          <w:sz w:val="28"/>
          <w:szCs w:val="28"/>
          <w:lang w:val="en-US" w:eastAsia="zh-CN"/>
        </w:rPr>
        <w:t>启东市城市水处理有限公司出水COD、TP、PH在线仪表采购项目</w:t>
      </w:r>
    </w:p>
    <w:p w14:paraId="25587BC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项目类型：货物</w:t>
      </w:r>
    </w:p>
    <w:p w14:paraId="1B2BB4B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宋体" w:hAnsi="宋体" w:eastAsia="仿宋" w:cs="宋体"/>
          <w:b/>
          <w:sz w:val="28"/>
          <w:szCs w:val="28"/>
          <w:lang w:val="en-US" w:eastAsia="zh-CN"/>
        </w:rPr>
        <w:t>18.86</w:t>
      </w:r>
      <w:r>
        <w:rPr>
          <w:rFonts w:hint="eastAsia" w:ascii="仿宋" w:hAnsi="仿宋" w:eastAsia="仿宋" w:cs="仿宋"/>
          <w:sz w:val="28"/>
          <w:szCs w:val="28"/>
        </w:rPr>
        <w:t>万元。</w:t>
      </w:r>
    </w:p>
    <w:p w14:paraId="45A2FDB1">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最高限价：</w:t>
      </w:r>
      <w:r>
        <w:rPr>
          <w:rFonts w:hint="eastAsia" w:ascii="宋体" w:hAnsi="宋体" w:eastAsia="仿宋" w:cs="宋体"/>
          <w:b/>
          <w:sz w:val="28"/>
          <w:szCs w:val="28"/>
          <w:lang w:val="en-US" w:eastAsia="zh-CN"/>
        </w:rPr>
        <w:t>18.86</w:t>
      </w:r>
      <w:r>
        <w:rPr>
          <w:rFonts w:hint="eastAsia" w:ascii="仿宋" w:hAnsi="仿宋" w:eastAsia="仿宋" w:cs="仿宋"/>
          <w:sz w:val="28"/>
          <w:szCs w:val="28"/>
        </w:rPr>
        <w:t>万元，</w:t>
      </w:r>
      <w:r>
        <w:rPr>
          <w:rFonts w:hint="eastAsia" w:ascii="仿宋" w:hAnsi="仿宋" w:eastAsia="仿宋" w:cs="仿宋"/>
          <w:kern w:val="0"/>
          <w:sz w:val="28"/>
          <w:szCs w:val="28"/>
        </w:rPr>
        <w:t>供应商所报投标报价大于最高限价的为无效报价。</w:t>
      </w:r>
    </w:p>
    <w:p w14:paraId="1BB3D8A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AA61C3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本项目不接受联合体。</w:t>
      </w:r>
    </w:p>
    <w:p w14:paraId="5D4A0077">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本项目不接受分包。</w:t>
      </w:r>
    </w:p>
    <w:p w14:paraId="3B9BE5CE">
      <w:pPr>
        <w:pStyle w:val="16"/>
        <w:widowControl/>
        <w:spacing w:line="440" w:lineRule="exact"/>
        <w:ind w:firstLine="562" w:firstLineChars="200"/>
        <w:jc w:val="both"/>
        <w:rPr>
          <w:rFonts w:ascii="宋体" w:hAnsi="宋体" w:cs="宋体"/>
          <w:sz w:val="28"/>
          <w:szCs w:val="28"/>
        </w:rPr>
      </w:pPr>
      <w:r>
        <w:rPr>
          <w:rFonts w:hint="eastAsia" w:ascii="宋体" w:hAnsi="宋体" w:cs="宋体"/>
          <w:b/>
          <w:sz w:val="28"/>
          <w:szCs w:val="28"/>
        </w:rPr>
        <w:t>二、供应商资格要求：</w:t>
      </w:r>
    </w:p>
    <w:p w14:paraId="0B4B95D7">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1.符合《中华人民共和国政府采购法》第二十二条的规定；</w:t>
      </w:r>
    </w:p>
    <w:p w14:paraId="547F4F89">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2.具有有效的营业执照；</w:t>
      </w:r>
    </w:p>
    <w:p w14:paraId="42D9F151">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3.参加政府采购活动前3年内在经营活动中没有重大违法记录的书面声明；</w:t>
      </w:r>
    </w:p>
    <w:p w14:paraId="264FF748">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4.本项目招标不接受联合体投标。</w:t>
      </w:r>
    </w:p>
    <w:p w14:paraId="5D726AC6">
      <w:pPr>
        <w:adjustRightInd w:val="0"/>
        <w:snapToGrid w:val="0"/>
        <w:spacing w:line="480" w:lineRule="exact"/>
        <w:ind w:firstLine="562" w:firstLineChars="200"/>
        <w:rPr>
          <w:rFonts w:ascii="仿宋" w:hAnsi="仿宋" w:eastAsia="仿宋" w:cs="仿宋"/>
          <w:b/>
          <w:bCs/>
          <w:sz w:val="28"/>
          <w:szCs w:val="28"/>
        </w:rPr>
      </w:pPr>
      <w:r>
        <w:rPr>
          <w:rFonts w:hint="eastAsia" w:ascii="宋体" w:hAnsi="宋体" w:cs="宋体"/>
          <w:b/>
          <w:sz w:val="28"/>
          <w:szCs w:val="28"/>
        </w:rPr>
        <w:t>三、</w:t>
      </w:r>
      <w:r>
        <w:rPr>
          <w:rFonts w:hint="eastAsia" w:ascii="仿宋" w:hAnsi="仿宋" w:eastAsia="仿宋" w:cs="仿宋"/>
          <w:b/>
          <w:bCs/>
          <w:sz w:val="28"/>
          <w:szCs w:val="28"/>
        </w:rPr>
        <w:t>获取采购文件</w:t>
      </w:r>
    </w:p>
    <w:p w14:paraId="2CA93379">
      <w:pPr>
        <w:adjustRightInd w:val="0"/>
        <w:snapToGrid w:val="0"/>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p>
    <w:p w14:paraId="6B9E4B70">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299220F1">
      <w:pPr>
        <w:adjustRightInd w:val="0"/>
        <w:snapToGrid w:val="0"/>
        <w:spacing w:line="480" w:lineRule="exact"/>
        <w:ind w:firstLine="562" w:firstLineChars="200"/>
        <w:rPr>
          <w:rFonts w:ascii="仿宋" w:hAnsi="仿宋" w:eastAsia="仿宋" w:cs="仿宋"/>
          <w:b/>
          <w:bCs/>
          <w:sz w:val="28"/>
          <w:szCs w:val="28"/>
        </w:rPr>
      </w:pPr>
      <w:bookmarkStart w:id="8" w:name="_Toc82505655"/>
      <w:r>
        <w:rPr>
          <w:rFonts w:hint="eastAsia" w:ascii="仿宋" w:hAnsi="仿宋" w:eastAsia="仿宋" w:cs="仿宋"/>
          <w:b/>
          <w:bCs/>
          <w:sz w:val="28"/>
          <w:szCs w:val="28"/>
        </w:rPr>
        <w:t>四、响应文件提交</w:t>
      </w:r>
      <w:bookmarkEnd w:id="8"/>
      <w:bookmarkStart w:id="62" w:name="_GoBack"/>
      <w:bookmarkEnd w:id="62"/>
    </w:p>
    <w:p w14:paraId="044224C6">
      <w:pPr>
        <w:snapToGrid w:val="0"/>
        <w:spacing w:line="480" w:lineRule="exact"/>
        <w:ind w:firstLine="560" w:firstLineChars="200"/>
        <w:rPr>
          <w:rFonts w:ascii="仿宋" w:hAnsi="仿宋" w:eastAsia="仿宋" w:cs="仿宋"/>
          <w:b/>
          <w:sz w:val="28"/>
          <w:szCs w:val="28"/>
          <w:u w:val="single"/>
        </w:rPr>
      </w:pPr>
      <w:bookmarkStart w:id="9" w:name="_Toc82505657"/>
      <w:r>
        <w:rPr>
          <w:rFonts w:hint="eastAsia" w:ascii="仿宋" w:hAnsi="仿宋" w:eastAsia="仿宋" w:cs="仿宋"/>
          <w:sz w:val="28"/>
          <w:szCs w:val="28"/>
        </w:rPr>
        <w:t>报价文件请于</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 xml:space="preserve"> 6</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 xml:space="preserve"> 11</w:t>
      </w:r>
      <w:r>
        <w:rPr>
          <w:rFonts w:hint="eastAsia" w:ascii="仿宋" w:hAnsi="仿宋" w:eastAsia="仿宋" w:cs="仿宋"/>
          <w:b/>
          <w:bCs/>
          <w:sz w:val="28"/>
          <w:szCs w:val="28"/>
        </w:rPr>
        <w:t>日</w:t>
      </w:r>
      <w:r>
        <w:rPr>
          <w:rFonts w:hint="eastAsia" w:ascii="仿宋" w:hAnsi="仿宋" w:eastAsia="仿宋" w:cs="仿宋"/>
          <w:b/>
          <w:bCs/>
          <w:sz w:val="28"/>
          <w:szCs w:val="28"/>
          <w:u w:val="single"/>
          <w:lang w:val="en-US" w:eastAsia="zh-CN"/>
        </w:rPr>
        <w:t>14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0</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b/>
          <w:bCs/>
          <w:sz w:val="28"/>
          <w:szCs w:val="28"/>
          <w:u w:val="single"/>
          <w:lang w:val="en-US" w:eastAsia="zh-CN"/>
        </w:rPr>
        <w:t>14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u w:val="none"/>
          <w:lang w:eastAsia="zh-CN"/>
        </w:rPr>
        <w:t>分</w:t>
      </w:r>
      <w:r>
        <w:rPr>
          <w:rFonts w:hint="eastAsia" w:ascii="仿宋" w:hAnsi="仿宋" w:eastAsia="仿宋" w:cs="仿宋"/>
          <w:b/>
          <w:bCs/>
          <w:sz w:val="28"/>
          <w:szCs w:val="28"/>
        </w:rPr>
        <w:t>送至启东城投集团有限公司(</w:t>
      </w:r>
      <w:r>
        <w:rPr>
          <w:rFonts w:hint="eastAsia" w:ascii="仿宋" w:hAnsi="仿宋" w:eastAsia="仿宋"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169E5B63">
      <w:pPr>
        <w:snapToGrid w:val="0"/>
        <w:spacing w:line="480" w:lineRule="exact"/>
        <w:ind w:firstLine="562" w:firstLineChars="200"/>
        <w:rPr>
          <w:rFonts w:hint="eastAsia" w:ascii="仿宋" w:hAnsi="仿宋" w:eastAsia="仿宋" w:cs="仿宋"/>
          <w:b/>
          <w:sz w:val="28"/>
          <w:szCs w:val="28"/>
          <w:highlight w:val="yellow"/>
          <w:lang w:eastAsia="zh-CN"/>
        </w:rPr>
      </w:pPr>
      <w:r>
        <w:rPr>
          <w:rFonts w:hint="eastAsia" w:ascii="仿宋" w:hAnsi="仿宋" w:eastAsia="仿宋" w:cs="仿宋"/>
          <w:b/>
          <w:sz w:val="28"/>
          <w:szCs w:val="28"/>
        </w:rPr>
        <w:t>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 xml:space="preserve"> 6</w:t>
      </w:r>
      <w:r>
        <w:rPr>
          <w:rFonts w:hint="eastAsia" w:ascii="仿宋" w:hAnsi="仿宋" w:eastAsia="仿宋" w:cs="仿宋"/>
          <w:b/>
          <w:sz w:val="28"/>
          <w:szCs w:val="28"/>
        </w:rPr>
        <w:t>月</w:t>
      </w:r>
      <w:r>
        <w:rPr>
          <w:rFonts w:hint="eastAsia" w:ascii="仿宋" w:hAnsi="仿宋" w:eastAsia="仿宋" w:cs="仿宋"/>
          <w:b/>
          <w:sz w:val="28"/>
          <w:szCs w:val="28"/>
          <w:u w:val="single"/>
          <w:lang w:val="en-US" w:eastAsia="zh-CN"/>
        </w:rPr>
        <w:t xml:space="preserve"> 11 </w:t>
      </w:r>
      <w:r>
        <w:rPr>
          <w:rFonts w:hint="eastAsia" w:ascii="仿宋" w:hAnsi="仿宋" w:eastAsia="仿宋" w:cs="仿宋"/>
          <w:b/>
          <w:sz w:val="28"/>
          <w:szCs w:val="28"/>
        </w:rPr>
        <w:t>日</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0</w:t>
      </w:r>
      <w:r>
        <w:rPr>
          <w:rFonts w:hint="eastAsia" w:ascii="仿宋" w:hAnsi="仿宋" w:eastAsia="仿宋" w:cs="仿宋"/>
          <w:b/>
          <w:sz w:val="28"/>
          <w:szCs w:val="28"/>
          <w:u w:val="none"/>
          <w:lang w:eastAsia="zh-CN"/>
        </w:rPr>
        <w:t>分</w:t>
      </w:r>
    </w:p>
    <w:p w14:paraId="06FC4165">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9"/>
    </w:p>
    <w:p w14:paraId="7E204C8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32BF52CF">
      <w:pPr>
        <w:adjustRightInd w:val="0"/>
        <w:snapToGrid w:val="0"/>
        <w:spacing w:line="480" w:lineRule="exact"/>
        <w:ind w:firstLine="562" w:firstLineChars="200"/>
        <w:rPr>
          <w:rFonts w:ascii="仿宋" w:hAnsi="仿宋" w:eastAsia="仿宋" w:cs="仿宋"/>
          <w:b/>
          <w:bCs/>
          <w:sz w:val="28"/>
          <w:szCs w:val="28"/>
        </w:rPr>
      </w:pPr>
      <w:bookmarkStart w:id="10" w:name="_Toc82505658"/>
      <w:r>
        <w:rPr>
          <w:rFonts w:hint="eastAsia" w:ascii="仿宋" w:hAnsi="仿宋" w:eastAsia="仿宋" w:cs="仿宋"/>
          <w:b/>
          <w:bCs/>
          <w:sz w:val="28"/>
          <w:szCs w:val="28"/>
        </w:rPr>
        <w:t>六、其他补充事宜</w:t>
      </w:r>
      <w:bookmarkEnd w:id="10"/>
    </w:p>
    <w:p w14:paraId="169FB387">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3DC1589">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14ED301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70081E4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8C8512C">
      <w:pPr>
        <w:adjustRightInd w:val="0"/>
        <w:snapToGrid w:val="0"/>
        <w:spacing w:line="480" w:lineRule="exact"/>
        <w:ind w:firstLine="562" w:firstLineChars="200"/>
        <w:rPr>
          <w:rFonts w:ascii="仿宋" w:hAnsi="仿宋" w:eastAsia="仿宋" w:cs="仿宋"/>
          <w:b/>
          <w:bCs/>
          <w:sz w:val="28"/>
          <w:szCs w:val="28"/>
        </w:rPr>
      </w:pPr>
      <w:bookmarkStart w:id="11" w:name="_Toc82505660"/>
      <w:r>
        <w:rPr>
          <w:rFonts w:hint="eastAsia" w:ascii="仿宋" w:hAnsi="仿宋" w:eastAsia="仿宋" w:cs="仿宋"/>
          <w:b/>
          <w:bCs/>
          <w:sz w:val="28"/>
          <w:szCs w:val="28"/>
        </w:rPr>
        <w:t>七、凡对本次采购提出询问，请按以下方式联系</w:t>
      </w:r>
      <w:bookmarkEnd w:id="11"/>
    </w:p>
    <w:p w14:paraId="1C134FE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5D7C0696">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名称:启东市城市水处理有限公司</w:t>
      </w:r>
    </w:p>
    <w:p w14:paraId="3B1B3ACE">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101AFC7F">
      <w:pPr>
        <w:adjustRightInd w:val="0"/>
        <w:snapToGrid w:val="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黄女士</w:t>
      </w:r>
    </w:p>
    <w:p w14:paraId="4574ACD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联系方式:0513-83630068</w:t>
      </w:r>
    </w:p>
    <w:p w14:paraId="28584C8D">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w:t>
      </w:r>
    </w:p>
    <w:p w14:paraId="108AF07C">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名  称：江苏天宏华信工程投资管理咨询有限公司</w:t>
      </w:r>
    </w:p>
    <w:p w14:paraId="31A16070">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址：启东市南苑西路1168号国动产业园2号楼402室</w:t>
      </w:r>
    </w:p>
    <w:p w14:paraId="240FD9AC">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周鸣华</w:t>
      </w:r>
      <w:r>
        <w:rPr>
          <w:rFonts w:hint="eastAsia" w:ascii="仿宋" w:hAnsi="仿宋" w:eastAsia="仿宋" w:cs="仿宋"/>
          <w:sz w:val="28"/>
          <w:szCs w:val="28"/>
        </w:rPr>
        <w:t>　　</w:t>
      </w:r>
    </w:p>
    <w:p w14:paraId="740F3C75">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联系方式：0513-83248588</w:t>
      </w:r>
    </w:p>
    <w:p w14:paraId="044D2CEC">
      <w:pPr>
        <w:pStyle w:val="10"/>
      </w:pPr>
    </w:p>
    <w:p w14:paraId="7D981140">
      <w:pPr>
        <w:spacing w:line="500" w:lineRule="exact"/>
        <w:jc w:val="right"/>
        <w:rPr>
          <w:rFonts w:hint="eastAsia" w:ascii="仿宋" w:hAnsi="仿宋" w:eastAsia="仿宋" w:cs="仿宋"/>
          <w:b/>
          <w:bCs/>
          <w:sz w:val="28"/>
          <w:szCs w:val="28"/>
        </w:rPr>
      </w:pPr>
    </w:p>
    <w:p w14:paraId="2401B07E">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427B46FF">
      <w:pPr>
        <w:spacing w:line="500" w:lineRule="exact"/>
        <w:ind w:firstLine="562" w:firstLineChars="200"/>
        <w:jc w:val="right"/>
        <w:rPr>
          <w:rFonts w:ascii="仿宋" w:hAnsi="仿宋" w:eastAsia="仿宋" w:cs="仿宋"/>
          <w:b/>
          <w:bCs/>
          <w:sz w:val="28"/>
          <w:szCs w:val="28"/>
          <w:highlight w:val="yellow"/>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日</w:t>
      </w:r>
    </w:p>
    <w:p w14:paraId="7E092965">
      <w:pPr>
        <w:pStyle w:val="10"/>
      </w:pPr>
    </w:p>
    <w:p w14:paraId="2383C610">
      <w:pPr>
        <w:adjustRightInd w:val="0"/>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附件: 项目采购文件</w:t>
      </w:r>
    </w:p>
    <w:p w14:paraId="59B76B44">
      <w:pPr>
        <w:pStyle w:val="4"/>
        <w:widowControl/>
        <w:adjustRightInd w:val="0"/>
        <w:snapToGrid w:val="0"/>
        <w:spacing w:before="0" w:after="0" w:line="500" w:lineRule="exact"/>
        <w:jc w:val="center"/>
        <w:rPr>
          <w:rFonts w:ascii="仿宋" w:hAnsi="仿宋" w:eastAsia="仿宋" w:cs="仿宋"/>
          <w:b w:val="0"/>
          <w:sz w:val="36"/>
          <w:szCs w:val="36"/>
        </w:rPr>
      </w:pPr>
      <w:bookmarkStart w:id="12" w:name="_Toc11926"/>
      <w:bookmarkStart w:id="13" w:name="_Toc82505664"/>
      <w:r>
        <w:rPr>
          <w:rFonts w:hint="eastAsia" w:ascii="仿宋" w:hAnsi="仿宋" w:eastAsia="仿宋" w:cs="仿宋"/>
          <w:b w:val="0"/>
          <w:sz w:val="36"/>
          <w:szCs w:val="36"/>
        </w:rPr>
        <w:t>第二部分  响应须知</w:t>
      </w:r>
      <w:bookmarkEnd w:id="12"/>
      <w:bookmarkEnd w:id="13"/>
    </w:p>
    <w:p w14:paraId="68C72717">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017FBEE0">
      <w:pPr>
        <w:adjustRightInd w:val="0"/>
        <w:snapToGrid w:val="0"/>
        <w:spacing w:line="500" w:lineRule="exact"/>
        <w:ind w:firstLine="560" w:firstLineChars="200"/>
        <w:rPr>
          <w:rFonts w:ascii="仿宋" w:hAnsi="仿宋" w:eastAsia="仿宋" w:cs="仿宋"/>
          <w:sz w:val="28"/>
          <w:szCs w:val="28"/>
        </w:rPr>
      </w:pPr>
      <w:bookmarkStart w:id="14" w:name="_Toc458694821"/>
      <w:bookmarkStart w:id="15" w:name="_Toc513029204"/>
      <w:bookmarkStart w:id="16" w:name="_Toc20823276"/>
      <w:bookmarkStart w:id="17" w:name="_Toc16938520"/>
      <w:r>
        <w:rPr>
          <w:rFonts w:hint="eastAsia" w:ascii="仿宋" w:hAnsi="仿宋" w:eastAsia="仿宋" w:cs="仿宋"/>
          <w:sz w:val="28"/>
          <w:szCs w:val="28"/>
        </w:rPr>
        <w:t>1</w:t>
      </w:r>
      <w:bookmarkEnd w:id="14"/>
      <w:r>
        <w:rPr>
          <w:rFonts w:hint="eastAsia" w:ascii="仿宋" w:hAnsi="仿宋" w:eastAsia="仿宋" w:cs="仿宋"/>
          <w:sz w:val="28"/>
          <w:szCs w:val="28"/>
        </w:rPr>
        <w:t>.采购方式</w:t>
      </w:r>
      <w:bookmarkEnd w:id="15"/>
      <w:bookmarkEnd w:id="16"/>
      <w:bookmarkEnd w:id="17"/>
    </w:p>
    <w:p w14:paraId="239FC385">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E446F33">
      <w:pPr>
        <w:adjustRightInd w:val="0"/>
        <w:snapToGrid w:val="0"/>
        <w:spacing w:line="500" w:lineRule="exact"/>
        <w:ind w:firstLine="560" w:firstLineChars="200"/>
        <w:rPr>
          <w:rFonts w:ascii="仿宋" w:hAnsi="仿宋" w:eastAsia="仿宋" w:cs="仿宋"/>
          <w:sz w:val="28"/>
          <w:szCs w:val="28"/>
        </w:rPr>
      </w:pPr>
      <w:bookmarkStart w:id="18" w:name="_Toc16938521"/>
      <w:bookmarkStart w:id="19" w:name="_Toc513029205"/>
      <w:bookmarkStart w:id="20" w:name="_Toc20823277"/>
      <w:r>
        <w:rPr>
          <w:rFonts w:hint="eastAsia" w:ascii="仿宋" w:hAnsi="仿宋" w:eastAsia="仿宋" w:cs="仿宋"/>
          <w:sz w:val="28"/>
          <w:szCs w:val="28"/>
        </w:rPr>
        <w:t>2.合格的</w:t>
      </w:r>
      <w:bookmarkEnd w:id="18"/>
      <w:bookmarkEnd w:id="19"/>
      <w:bookmarkEnd w:id="20"/>
      <w:r>
        <w:rPr>
          <w:rFonts w:hint="eastAsia" w:ascii="仿宋" w:hAnsi="仿宋" w:eastAsia="仿宋" w:cs="仿宋"/>
          <w:sz w:val="28"/>
          <w:szCs w:val="28"/>
        </w:rPr>
        <w:t>响应供应商</w:t>
      </w:r>
    </w:p>
    <w:p w14:paraId="0BD5E5F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5DBFB3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5D5CB012">
      <w:pPr>
        <w:adjustRightInd w:val="0"/>
        <w:snapToGrid w:val="0"/>
        <w:spacing w:line="500" w:lineRule="exact"/>
        <w:ind w:firstLine="560" w:firstLineChars="200"/>
        <w:rPr>
          <w:rFonts w:ascii="仿宋" w:hAnsi="仿宋" w:eastAsia="仿宋" w:cs="仿宋"/>
          <w:sz w:val="28"/>
          <w:szCs w:val="28"/>
        </w:rPr>
      </w:pPr>
      <w:bookmarkStart w:id="21" w:name="_Toc20823278"/>
      <w:bookmarkStart w:id="22" w:name="_Toc513029206"/>
      <w:bookmarkStart w:id="23" w:name="_Toc16938522"/>
      <w:r>
        <w:rPr>
          <w:rFonts w:hint="eastAsia" w:ascii="仿宋" w:hAnsi="仿宋" w:eastAsia="仿宋" w:cs="仿宋"/>
          <w:sz w:val="28"/>
          <w:szCs w:val="28"/>
        </w:rPr>
        <w:t>3.适用法律</w:t>
      </w:r>
      <w:bookmarkEnd w:id="21"/>
      <w:bookmarkEnd w:id="22"/>
      <w:bookmarkEnd w:id="23"/>
    </w:p>
    <w:p w14:paraId="37F9DA56">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42355E03">
      <w:pPr>
        <w:adjustRightInd w:val="0"/>
        <w:snapToGrid w:val="0"/>
        <w:spacing w:line="500" w:lineRule="exact"/>
        <w:ind w:firstLine="560" w:firstLineChars="200"/>
        <w:rPr>
          <w:rFonts w:ascii="仿宋" w:hAnsi="仿宋" w:eastAsia="仿宋" w:cs="仿宋"/>
          <w:sz w:val="28"/>
          <w:szCs w:val="28"/>
        </w:rPr>
      </w:pPr>
      <w:bookmarkStart w:id="24" w:name="_Toc462564067"/>
      <w:bookmarkStart w:id="25" w:name="_Toc16938523"/>
      <w:bookmarkStart w:id="26" w:name="_Toc513029207"/>
      <w:bookmarkStart w:id="27" w:name="_Toc20823279"/>
      <w:r>
        <w:rPr>
          <w:rFonts w:hint="eastAsia" w:ascii="仿宋" w:hAnsi="仿宋" w:eastAsia="仿宋" w:cs="仿宋"/>
          <w:sz w:val="28"/>
          <w:szCs w:val="28"/>
        </w:rPr>
        <w:t>4.响应费用</w:t>
      </w:r>
      <w:bookmarkEnd w:id="24"/>
      <w:bookmarkEnd w:id="25"/>
      <w:bookmarkEnd w:id="26"/>
      <w:bookmarkEnd w:id="27"/>
    </w:p>
    <w:p w14:paraId="3172940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10C0CEF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38130D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5E8071C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5F9D89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64AEA6F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081B3638">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7.1供应商应按照本询价公告的要求编制报价文件，报价文件应对本询价公告提出的要求和条件作出实质性响应。否则，均被视为无效投标文件。各投标人在报价时请充分考虑各种因素，投标报价包括（但不限于）</w:t>
      </w:r>
      <w:r>
        <w:rPr>
          <w:rFonts w:hint="eastAsia" w:ascii="仿宋" w:hAnsi="仿宋" w:eastAsia="仿宋" w:cs="仿宋"/>
          <w:sz w:val="28"/>
          <w:szCs w:val="28"/>
          <w:lang w:val="en-US" w:eastAsia="zh-CN"/>
        </w:rPr>
        <w:t>为完成合同范围内全部货物采购、运输、安装、调试等总费用，以及为完成上述内容所必须的临时项目、人工、材料设备、旧设备的拆除、机械、施工、材料检测、配合作业、售后服务、保险、规费、利润、税金、政策性文件规定及合同包含的所有风险、责任等一切费用。在安装、验收过程中，如发现有漏项、缺件，中标人应无条件、无偿补齐，所发生的一切费用，视为已包含在供应商的投标报价之中，且并不因此而影响交付采购人使用的时间。报价时一次包定,不再另行追加。</w:t>
      </w:r>
    </w:p>
    <w:p w14:paraId="736207E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7.2对采购人提供的货物需求一览表及技术参数，供应商如有疑问，应在本询价公告发布期间提出，否则视为默认，货物需求表及技术参数不再作任何修改，成交供应商不得再提任何调整要求。对完成本询价公告中的全部货物、服务使之成为一个完整系统的其余配套材料项目、措施项目等，均由供应商自行计入投标报价中，成交后采购人对该部分不作任何调整。</w:t>
      </w:r>
    </w:p>
    <w:p w14:paraId="3AF11F78">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7.3异常低价投标（响应）审查的情形和具体要求：</w:t>
      </w:r>
    </w:p>
    <w:p w14:paraId="4F51210D">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7.3.1评审过程中出现下列情形之一的，询价小组应当启动异常低价投标（响应）审查程序：</w:t>
      </w:r>
    </w:p>
    <w:p w14:paraId="766DBD1F">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①投标（响应）报价低于全部通过符合性审查供应商投标（响应）报价平均值50%的，即投标（响应）报价&lt;全部通过符合性审查供应商投标（响应）报价平均值×50%；</w:t>
      </w:r>
    </w:p>
    <w:p w14:paraId="6AFD4073">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②投标（响应）报价低于通过符合性审查的次低报价供应商投标（响应）报价50%的，即投标（响应）报价&lt;通过符合性审查的次低报价供应商投标（响应）报价×50%；</w:t>
      </w:r>
    </w:p>
    <w:p w14:paraId="109E7517">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③投标（响应）报价低于采购项目最高限价45%的，即投标（响应）报价&lt;采购项目最高限价×45%；</w:t>
      </w:r>
    </w:p>
    <w:p w14:paraId="29FEA9D4">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④询价小组基于专业判断，认为供应商报价过低，有可能影响产品质量或者不能诚信履约的其他情形。</w:t>
      </w:r>
    </w:p>
    <w:p w14:paraId="2CDC56BD">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14:paraId="1BF86DE0">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249BDC5B">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0A614875">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异常低价投标（响应）审查的启动原因、审查意见和审查结果应当在评审报告中记录，并随供应商提供的相关书面说明及证明材料，以及询价小组有关互联网浏览、查询历史一并归档。</w:t>
      </w:r>
    </w:p>
    <w:p w14:paraId="10C88C5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0820595C">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598B30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25431B8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365515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015253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367A30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7830BE8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31050C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553F58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1718878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11C6D80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960003D">
      <w:pPr>
        <w:adjustRightInd w:val="0"/>
        <w:snapToGrid w:val="0"/>
        <w:spacing w:line="500" w:lineRule="exact"/>
        <w:ind w:firstLine="560" w:firstLineChars="200"/>
        <w:rPr>
          <w:rFonts w:ascii="仿宋" w:hAnsi="仿宋" w:eastAsia="仿宋" w:cs="仿宋"/>
          <w:sz w:val="28"/>
          <w:szCs w:val="28"/>
        </w:rPr>
      </w:pPr>
      <w:bookmarkStart w:id="28" w:name="_Toc462564071"/>
      <w:bookmarkStart w:id="29" w:name="_Toc20823284"/>
      <w:bookmarkStart w:id="30" w:name="_Toc513029212"/>
      <w:bookmarkStart w:id="31" w:name="_Toc16938528"/>
      <w:r>
        <w:rPr>
          <w:rFonts w:hint="eastAsia" w:ascii="仿宋" w:hAnsi="仿宋" w:eastAsia="仿宋" w:cs="仿宋"/>
          <w:sz w:val="28"/>
          <w:szCs w:val="28"/>
        </w:rPr>
        <w:t>3.询价采购文件的修改</w:t>
      </w:r>
      <w:bookmarkEnd w:id="28"/>
      <w:bookmarkEnd w:id="29"/>
      <w:bookmarkEnd w:id="30"/>
      <w:bookmarkEnd w:id="31"/>
    </w:p>
    <w:p w14:paraId="6552EE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7CD7BC5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53DB92F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1AD5C8DF">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5B6068DF">
      <w:pPr>
        <w:adjustRightInd w:val="0"/>
        <w:snapToGrid w:val="0"/>
        <w:spacing w:line="500" w:lineRule="exact"/>
        <w:ind w:firstLine="560" w:firstLineChars="200"/>
        <w:rPr>
          <w:rFonts w:ascii="仿宋" w:hAnsi="仿宋" w:eastAsia="仿宋" w:cs="仿宋"/>
          <w:bCs/>
          <w:sz w:val="28"/>
          <w:szCs w:val="28"/>
        </w:rPr>
      </w:pPr>
      <w:bookmarkStart w:id="32" w:name="_Toc513029214"/>
      <w:bookmarkStart w:id="33" w:name="_Toc20823286"/>
      <w:bookmarkStart w:id="34" w:name="_Toc462564073"/>
      <w:bookmarkStart w:id="35" w:name="_Toc16938530"/>
      <w:r>
        <w:rPr>
          <w:rFonts w:hint="eastAsia" w:ascii="仿宋" w:hAnsi="仿宋" w:eastAsia="仿宋" w:cs="仿宋"/>
          <w:bCs/>
          <w:sz w:val="28"/>
          <w:szCs w:val="28"/>
        </w:rPr>
        <w:t>1.响应文件的语言及度量衡单位</w:t>
      </w:r>
      <w:bookmarkEnd w:id="32"/>
      <w:bookmarkEnd w:id="33"/>
      <w:bookmarkEnd w:id="34"/>
      <w:bookmarkEnd w:id="35"/>
    </w:p>
    <w:p w14:paraId="7E6F9D7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2B26D37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17D66D26">
      <w:pPr>
        <w:adjustRightInd w:val="0"/>
        <w:snapToGrid w:val="0"/>
        <w:spacing w:line="500" w:lineRule="exact"/>
        <w:ind w:firstLine="560" w:firstLineChars="200"/>
        <w:rPr>
          <w:rFonts w:ascii="仿宋" w:hAnsi="仿宋" w:eastAsia="仿宋" w:cs="仿宋"/>
          <w:bCs/>
          <w:sz w:val="28"/>
          <w:szCs w:val="28"/>
        </w:rPr>
      </w:pPr>
      <w:bookmarkStart w:id="36" w:name="_Toc462564074"/>
      <w:bookmarkStart w:id="37" w:name="_Toc16938531"/>
      <w:bookmarkStart w:id="38" w:name="_Toc513029215"/>
      <w:bookmarkStart w:id="39" w:name="_Toc20823287"/>
      <w:r>
        <w:rPr>
          <w:rFonts w:hint="eastAsia" w:ascii="仿宋" w:hAnsi="仿宋" w:eastAsia="仿宋" w:cs="仿宋"/>
          <w:bCs/>
          <w:sz w:val="28"/>
          <w:szCs w:val="28"/>
        </w:rPr>
        <w:t>2.响应文件构成</w:t>
      </w:r>
      <w:bookmarkEnd w:id="36"/>
      <w:bookmarkEnd w:id="37"/>
      <w:bookmarkEnd w:id="38"/>
      <w:bookmarkEnd w:id="39"/>
    </w:p>
    <w:p w14:paraId="6AC478B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供应商编写的响应文件应包括资格审查证明材料文件、价格标文件。供应商按“第四部分 响应文件组成”要求编写响应文件。</w:t>
      </w:r>
    </w:p>
    <w:p w14:paraId="3E81B23A">
      <w:pPr>
        <w:adjustRightInd w:val="0"/>
        <w:snapToGrid w:val="0"/>
        <w:spacing w:line="500" w:lineRule="exact"/>
        <w:ind w:firstLine="560" w:firstLineChars="200"/>
        <w:rPr>
          <w:rFonts w:ascii="仿宋" w:hAnsi="仿宋" w:eastAsia="仿宋" w:cs="仿宋"/>
          <w:sz w:val="28"/>
          <w:szCs w:val="28"/>
        </w:rPr>
      </w:pPr>
      <w:bookmarkStart w:id="40" w:name="_Hlt26954838"/>
      <w:bookmarkEnd w:id="40"/>
      <w:bookmarkStart w:id="41" w:name="_Hlt26670360"/>
      <w:bookmarkEnd w:id="41"/>
      <w:bookmarkStart w:id="42" w:name="_Hlt26668975"/>
      <w:bookmarkEnd w:id="42"/>
      <w:bookmarkStart w:id="43" w:name="_Toc49090511"/>
      <w:bookmarkStart w:id="44"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7D0A739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w:t>
      </w:r>
      <w:r>
        <w:rPr>
          <w:rFonts w:hint="eastAsia" w:ascii="仿宋" w:hAnsi="仿宋" w:eastAsia="仿宋" w:cs="仿宋"/>
          <w:sz w:val="28"/>
          <w:szCs w:val="28"/>
        </w:rPr>
        <w:t>文件必须提供1份正本2份副本。</w:t>
      </w:r>
    </w:p>
    <w:p w14:paraId="7E85C5B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响应</w:t>
      </w:r>
      <w:r>
        <w:rPr>
          <w:rFonts w:hint="eastAsia" w:ascii="仿宋" w:hAnsi="仿宋" w:eastAsia="仿宋" w:cs="仿宋"/>
          <w:sz w:val="28"/>
          <w:szCs w:val="28"/>
        </w:rPr>
        <w:t>文件统一采用现场递交。</w:t>
      </w:r>
    </w:p>
    <w:p w14:paraId="103349D3">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828B04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3.4供应商的响应文件分两包密封，一包资格审查文件、一包价格标（每包内含相应文件正副本）。</w:t>
      </w:r>
    </w:p>
    <w:p w14:paraId="71E08E13">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3.5响应供应商应在响应文件密封袋上标明：采购人名称、项目名称、供应商名称、响应文件名称（如：“资格审查文件”、“价格标”）。</w:t>
      </w:r>
    </w:p>
    <w:p w14:paraId="0CEE5E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3.6所有响应文件密封袋的封口处均应加盖供应商印章。</w:t>
      </w:r>
    </w:p>
    <w:p w14:paraId="48921D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3.7如果响应供应商未按上述要求装订密封及加写标记，将作无效响应文件处理。</w:t>
      </w:r>
    </w:p>
    <w:p w14:paraId="483B49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5959B2E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4.1响应文件必须加盖骑缝章或每页盖章。</w:t>
      </w:r>
    </w:p>
    <w:p w14:paraId="112B58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1F5615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5FD3551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3"/>
      <w:bookmarkEnd w:id="44"/>
    </w:p>
    <w:p w14:paraId="21579B4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4F3669A6">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6FEB0337">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6BC90B7E">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3E77456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03F569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5B4517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781FF0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50BA33D0">
      <w:pPr>
        <w:adjustRightInd w:val="0"/>
        <w:snapToGrid w:val="0"/>
        <w:spacing w:line="500" w:lineRule="exact"/>
        <w:ind w:firstLine="560" w:firstLineChars="200"/>
        <w:rPr>
          <w:rFonts w:ascii="仿宋" w:hAnsi="仿宋" w:eastAsia="仿宋" w:cs="仿宋"/>
          <w:sz w:val="28"/>
          <w:szCs w:val="28"/>
        </w:rPr>
      </w:pPr>
      <w:bookmarkStart w:id="45" w:name="_Toc16938543"/>
      <w:bookmarkStart w:id="46" w:name="_Toc20823299"/>
      <w:bookmarkStart w:id="47" w:name="_Toc513029227"/>
      <w:r>
        <w:rPr>
          <w:rFonts w:hint="eastAsia" w:ascii="仿宋" w:hAnsi="仿宋" w:eastAsia="仿宋" w:cs="仿宋"/>
          <w:sz w:val="28"/>
          <w:szCs w:val="28"/>
        </w:rPr>
        <w:t>2.1 响应供应商提交的响应文件的时间不得迟于采购公告中规定的响应文件提交截止时间。</w:t>
      </w:r>
    </w:p>
    <w:p w14:paraId="5BD56D3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282FB7B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5"/>
      <w:bookmarkEnd w:id="46"/>
      <w:bookmarkEnd w:id="47"/>
      <w:r>
        <w:rPr>
          <w:rFonts w:hint="eastAsia" w:ascii="仿宋" w:hAnsi="仿宋" w:eastAsia="仿宋" w:cs="仿宋"/>
          <w:bCs/>
          <w:sz w:val="28"/>
          <w:szCs w:val="28"/>
        </w:rPr>
        <w:t>的拒收</w:t>
      </w:r>
    </w:p>
    <w:p w14:paraId="7A24C52D">
      <w:pPr>
        <w:adjustRightInd w:val="0"/>
        <w:snapToGrid w:val="0"/>
        <w:spacing w:line="500" w:lineRule="exact"/>
        <w:ind w:firstLine="560" w:firstLineChars="200"/>
        <w:rPr>
          <w:rFonts w:ascii="仿宋" w:hAnsi="仿宋" w:eastAsia="仿宋" w:cs="仿宋"/>
          <w:sz w:val="28"/>
          <w:szCs w:val="28"/>
        </w:rPr>
      </w:pPr>
      <w:bookmarkStart w:id="48" w:name="_Toc16938544"/>
      <w:bookmarkStart w:id="49" w:name="_Toc513029228"/>
      <w:bookmarkStart w:id="50" w:name="_Toc20823300"/>
      <w:r>
        <w:rPr>
          <w:rFonts w:hint="eastAsia" w:ascii="仿宋" w:hAnsi="仿宋" w:eastAsia="仿宋" w:cs="仿宋"/>
          <w:sz w:val="28"/>
          <w:szCs w:val="28"/>
        </w:rPr>
        <w:t>采购人拒绝接收未按照采购文件要求密封的响应文件，拒绝接收在响应文件接收截止时间后送达的响应文件。</w:t>
      </w:r>
    </w:p>
    <w:p w14:paraId="5E305F4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48"/>
      <w:bookmarkEnd w:id="49"/>
      <w:bookmarkEnd w:id="50"/>
    </w:p>
    <w:p w14:paraId="528E8FF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358A7CB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1D7179B4">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79C61FC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050373C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20B1AFE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03F0F58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59F7779E">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4600EDE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7EFA33F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0B650B9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684AF18D">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48D680E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252FBA0A">
      <w:pPr>
        <w:numPr>
          <w:ilvl w:val="0"/>
          <w:numId w:val="1"/>
        </w:num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209BC4D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0EC8EF9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7DBC480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6508B7B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5B83323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3DF39DF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5ECB88E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1EF761AB">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7516CB1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78EB2D12">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57411EB3">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7A807B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1DBA20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5937E5B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1C842FB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15C366F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5D40E2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56EC5C7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216B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47B6CF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1E5176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6E80F3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1ECD3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508EA2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4691F6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042275F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7B5F9CF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4EDA7A9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w:t>
      </w:r>
    </w:p>
    <w:p w14:paraId="2025A0D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4.2符合下列情形之一者，本采购项目废标：</w:t>
      </w:r>
    </w:p>
    <w:p w14:paraId="77654EB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4FCA119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464F3DF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724DD99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2F48C3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748AC275">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六、成交原则</w:t>
      </w:r>
    </w:p>
    <w:p w14:paraId="26A7DE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3703A3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3C9CE19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455D24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5A0FCC5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w:t>
      </w:r>
      <w:r>
        <w:rPr>
          <w:rFonts w:hint="eastAsia" w:ascii="仿宋" w:hAnsi="仿宋" w:eastAsia="仿宋" w:cs="仿宋"/>
          <w:sz w:val="28"/>
          <w:szCs w:val="28"/>
          <w:lang w:val="zh-CN"/>
        </w:rPr>
        <w:t>无正当理由放弃中标资格、不与采购人订立合同、拒不提供履约担保、不履行合同情形的、被终止合同的，将列入启东城投集团有限公司及下属子公司黑名单，近两年内拒绝其投标。</w:t>
      </w:r>
    </w:p>
    <w:p w14:paraId="0AFAAE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6FBDFA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1290DD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646C2A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1CB05A1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C55045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5FC3CF2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7A9A89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7CB5E1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6FE9CB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414BEF0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3A8068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66BF10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E609EE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2844F08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535FF4C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0C86589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1172E1B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6BA86441">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301916CA">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46731255">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4C14126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七）要求的格式和内容进行填写。供应商如组成联合体参加响应，则《质疑函范本》中要求签字、盖章、加盖公章之处，联合体各方均须按要求签字、盖章、加盖公章。</w:t>
      </w:r>
    </w:p>
    <w:p w14:paraId="2EBCDF9D">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5CE3B73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ACF8C3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8DAA26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56BE67F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283F75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77C8C4B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1EDDD070">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1FAD766">
      <w:pPr>
        <w:numPr>
          <w:ilvl w:val="0"/>
          <w:numId w:val="2"/>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66BE6A81">
      <w:pPr>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公告成交结果的同时，采购人</w:t>
      </w:r>
      <w:r>
        <w:rPr>
          <w:rFonts w:hint="eastAsia" w:ascii="仿宋" w:hAnsi="仿宋" w:eastAsia="仿宋" w:cs="仿宋"/>
          <w:bCs/>
          <w:sz w:val="28"/>
          <w:szCs w:val="28"/>
        </w:rPr>
        <w:t>向成交供应商发放成交通知书。</w:t>
      </w:r>
    </w:p>
    <w:p w14:paraId="10DE4CC0">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5A6CA043">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七、授予合同</w:t>
      </w:r>
    </w:p>
    <w:p w14:paraId="0599E80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55A8B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640A90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AD2BD5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99035E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011C7F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7BE717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2868F270">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八、其他说明</w:t>
      </w:r>
    </w:p>
    <w:p w14:paraId="0F1035D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554A8B9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71AE77D8">
      <w:pPr>
        <w:pStyle w:val="10"/>
        <w:rPr>
          <w:rFonts w:ascii="仿宋" w:hAnsi="仿宋" w:eastAsia="仿宋" w:cs="仿宋"/>
          <w:sz w:val="28"/>
          <w:szCs w:val="28"/>
        </w:rPr>
      </w:pPr>
    </w:p>
    <w:p w14:paraId="1605BA74">
      <w:pPr>
        <w:rPr>
          <w:rFonts w:ascii="仿宋" w:hAnsi="仿宋" w:eastAsia="仿宋" w:cs="仿宋"/>
          <w:sz w:val="28"/>
          <w:szCs w:val="28"/>
        </w:rPr>
      </w:pPr>
    </w:p>
    <w:p w14:paraId="36B16F25">
      <w:pPr>
        <w:pStyle w:val="10"/>
        <w:rPr>
          <w:rFonts w:ascii="仿宋" w:hAnsi="仿宋" w:eastAsia="仿宋" w:cs="仿宋"/>
          <w:sz w:val="28"/>
          <w:szCs w:val="28"/>
        </w:rPr>
      </w:pPr>
    </w:p>
    <w:p w14:paraId="799958A5">
      <w:pPr>
        <w:rPr>
          <w:rFonts w:ascii="仿宋" w:hAnsi="仿宋" w:eastAsia="仿宋" w:cs="仿宋"/>
          <w:sz w:val="28"/>
          <w:szCs w:val="28"/>
        </w:rPr>
      </w:pPr>
    </w:p>
    <w:p w14:paraId="2BC0DFDB">
      <w:pPr>
        <w:pStyle w:val="10"/>
        <w:rPr>
          <w:rFonts w:ascii="仿宋" w:hAnsi="仿宋" w:eastAsia="仿宋" w:cs="仿宋"/>
          <w:sz w:val="28"/>
          <w:szCs w:val="28"/>
        </w:rPr>
      </w:pPr>
    </w:p>
    <w:p w14:paraId="14FFEC22">
      <w:pPr>
        <w:pStyle w:val="4"/>
        <w:widowControl/>
        <w:adjustRightInd w:val="0"/>
        <w:snapToGrid w:val="0"/>
        <w:spacing w:before="0" w:after="0" w:line="500" w:lineRule="exact"/>
        <w:jc w:val="center"/>
        <w:rPr>
          <w:rFonts w:ascii="仿宋" w:hAnsi="仿宋" w:eastAsia="仿宋" w:cs="仿宋"/>
          <w:b w:val="0"/>
          <w:sz w:val="36"/>
          <w:szCs w:val="36"/>
        </w:rPr>
      </w:pPr>
      <w:r>
        <w:rPr>
          <w:rFonts w:hint="eastAsia" w:ascii="仿宋" w:hAnsi="仿宋" w:eastAsia="仿宋" w:cs="仿宋"/>
          <w:b w:val="0"/>
          <w:sz w:val="36"/>
          <w:szCs w:val="36"/>
        </w:rPr>
        <w:t>第三部分  项目需求</w:t>
      </w:r>
    </w:p>
    <w:p w14:paraId="1A6EE318">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471159C">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5A62A37B">
      <w:pPr>
        <w:tabs>
          <w:tab w:val="left" w:pos="6860"/>
          <w:tab w:val="left" w:pos="7140"/>
        </w:tabs>
        <w:spacing w:line="480" w:lineRule="exact"/>
        <w:ind w:firstLine="560" w:firstLineChars="200"/>
        <w:rPr>
          <w:rFonts w:hint="eastAsia" w:ascii="宋体" w:hAnsi="宋体" w:cs="宋体"/>
          <w:b/>
          <w:bCs/>
          <w:sz w:val="24"/>
          <w:szCs w:val="24"/>
          <w:lang w:val="zh-CN"/>
        </w:rPr>
      </w:pPr>
      <w:r>
        <w:rPr>
          <w:rFonts w:hint="eastAsia" w:ascii="仿宋" w:hAnsi="仿宋" w:eastAsia="仿宋" w:cs="仿宋"/>
          <w:sz w:val="28"/>
          <w:szCs w:val="28"/>
          <w:lang w:eastAsia="zh-CN"/>
        </w:rPr>
        <w:t>一、</w:t>
      </w:r>
      <w:r>
        <w:rPr>
          <w:rFonts w:hint="eastAsia" w:ascii="仿宋" w:hAnsi="仿宋" w:eastAsia="仿宋" w:cs="仿宋"/>
          <w:sz w:val="28"/>
          <w:szCs w:val="28"/>
        </w:rPr>
        <w:t>采购需求：</w:t>
      </w:r>
      <w:r>
        <w:rPr>
          <w:rFonts w:hint="eastAsia" w:ascii="仿宋" w:hAnsi="仿宋" w:eastAsia="仿宋" w:cs="仿宋"/>
          <w:sz w:val="28"/>
          <w:szCs w:val="28"/>
          <w:lang w:val="en-US" w:eastAsia="zh-CN"/>
        </w:rPr>
        <w:t>启东市城市水处理有限公司出水COD、TP、PH在线仪表采购项目</w:t>
      </w:r>
      <w:r>
        <w:rPr>
          <w:rFonts w:hint="eastAsia" w:ascii="仿宋" w:hAnsi="仿宋" w:eastAsia="仿宋" w:cs="仿宋"/>
          <w:sz w:val="28"/>
          <w:szCs w:val="28"/>
        </w:rPr>
        <w:t>，详见采购</w:t>
      </w:r>
      <w:r>
        <w:rPr>
          <w:rFonts w:hint="eastAsia" w:ascii="仿宋" w:hAnsi="仿宋" w:eastAsia="仿宋" w:cs="仿宋"/>
          <w:kern w:val="0"/>
          <w:sz w:val="28"/>
          <w:szCs w:val="28"/>
        </w:rPr>
        <w:t>清单</w:t>
      </w:r>
      <w:r>
        <w:rPr>
          <w:rFonts w:hint="eastAsia" w:ascii="仿宋" w:hAnsi="仿宋" w:eastAsia="仿宋" w:cs="仿宋"/>
          <w:sz w:val="28"/>
          <w:szCs w:val="28"/>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548"/>
        <w:gridCol w:w="915"/>
        <w:gridCol w:w="2085"/>
      </w:tblGrid>
      <w:tr w14:paraId="4F7A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36" w:type="dxa"/>
            <w:noWrap w:val="0"/>
            <w:vAlign w:val="center"/>
          </w:tcPr>
          <w:p w14:paraId="1CDD2A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548" w:type="dxa"/>
            <w:noWrap w:val="0"/>
            <w:vAlign w:val="center"/>
          </w:tcPr>
          <w:p w14:paraId="097D25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主要参数要求</w:t>
            </w:r>
          </w:p>
        </w:tc>
        <w:tc>
          <w:tcPr>
            <w:tcW w:w="915" w:type="dxa"/>
            <w:noWrap w:val="0"/>
            <w:vAlign w:val="center"/>
          </w:tcPr>
          <w:p w14:paraId="5B9ECE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c>
          <w:tcPr>
            <w:tcW w:w="2085" w:type="dxa"/>
            <w:noWrap w:val="0"/>
            <w:vAlign w:val="center"/>
          </w:tcPr>
          <w:p w14:paraId="6C6F43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2EAC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736" w:type="dxa"/>
            <w:noWrap w:val="0"/>
            <w:vAlign w:val="center"/>
          </w:tcPr>
          <w:p w14:paraId="600B02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TP在线分析仪</w:t>
            </w:r>
          </w:p>
        </w:tc>
        <w:tc>
          <w:tcPr>
            <w:tcW w:w="4548" w:type="dxa"/>
            <w:noWrap w:val="0"/>
            <w:vAlign w:val="center"/>
          </w:tcPr>
          <w:p w14:paraId="7448AFE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量程：0.01-5（可扩展）</w:t>
            </w:r>
          </w:p>
          <w:p w14:paraId="78623E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准确度：±2mg/L</w:t>
            </w:r>
          </w:p>
          <w:p w14:paraId="325B85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单次消解时间：约10分钟（测量时间27分钟）</w:t>
            </w:r>
          </w:p>
          <w:p w14:paraId="79BFBB3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其余详见附件</w:t>
            </w:r>
          </w:p>
        </w:tc>
        <w:tc>
          <w:tcPr>
            <w:tcW w:w="915" w:type="dxa"/>
            <w:noWrap w:val="0"/>
            <w:vAlign w:val="center"/>
          </w:tcPr>
          <w:p w14:paraId="47405D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085" w:type="dxa"/>
            <w:noWrap w:val="0"/>
            <w:vAlign w:val="center"/>
          </w:tcPr>
          <w:p w14:paraId="417F6F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含自主验收</w:t>
            </w:r>
          </w:p>
        </w:tc>
      </w:tr>
      <w:tr w14:paraId="0EC7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736" w:type="dxa"/>
            <w:noWrap w:val="0"/>
            <w:vAlign w:val="center"/>
          </w:tcPr>
          <w:p w14:paraId="340E96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COD在线分析仪</w:t>
            </w:r>
          </w:p>
        </w:tc>
        <w:tc>
          <w:tcPr>
            <w:tcW w:w="4548" w:type="dxa"/>
            <w:noWrap w:val="0"/>
            <w:vAlign w:val="center"/>
          </w:tcPr>
          <w:p w14:paraId="3B3FF7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量程：5-2000（可扩展）</w:t>
            </w:r>
          </w:p>
          <w:p w14:paraId="4103AD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准确度： &lt; 50 mg/L时，≤±5 mg/L</w:t>
            </w:r>
          </w:p>
          <w:p w14:paraId="4923D7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单次测量时间：小于45分钟</w:t>
            </w:r>
          </w:p>
          <w:p w14:paraId="484D8B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其余详见附件</w:t>
            </w:r>
          </w:p>
        </w:tc>
        <w:tc>
          <w:tcPr>
            <w:tcW w:w="915" w:type="dxa"/>
            <w:noWrap w:val="0"/>
            <w:vAlign w:val="center"/>
          </w:tcPr>
          <w:p w14:paraId="74C6B1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085" w:type="dxa"/>
            <w:noWrap w:val="0"/>
            <w:vAlign w:val="center"/>
          </w:tcPr>
          <w:p w14:paraId="2D27A4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color w:val="auto"/>
                <w:sz w:val="21"/>
                <w:szCs w:val="21"/>
                <w:vertAlign w:val="baseline"/>
                <w:lang w:val="en-US" w:eastAsia="zh-CN"/>
              </w:rPr>
              <w:t>含自主验收</w:t>
            </w:r>
          </w:p>
        </w:tc>
      </w:tr>
      <w:tr w14:paraId="38A2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36" w:type="dxa"/>
            <w:noWrap w:val="0"/>
            <w:vAlign w:val="center"/>
          </w:tcPr>
          <w:p w14:paraId="73674B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PH在线分析仪</w:t>
            </w:r>
          </w:p>
        </w:tc>
        <w:tc>
          <w:tcPr>
            <w:tcW w:w="4548" w:type="dxa"/>
            <w:noWrap w:val="0"/>
            <w:vAlign w:val="center"/>
          </w:tcPr>
          <w:p w14:paraId="3C9FD0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量程：0-10</w:t>
            </w:r>
          </w:p>
          <w:p w14:paraId="59F4A8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具备两点校准及实际水样校准功能</w:t>
            </w:r>
          </w:p>
          <w:p w14:paraId="753884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探头长度5米与35米各1个</w:t>
            </w:r>
          </w:p>
        </w:tc>
        <w:tc>
          <w:tcPr>
            <w:tcW w:w="915" w:type="dxa"/>
            <w:noWrap w:val="0"/>
            <w:vAlign w:val="center"/>
          </w:tcPr>
          <w:p w14:paraId="05EB3E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085" w:type="dxa"/>
            <w:noWrap w:val="0"/>
            <w:vAlign w:val="center"/>
          </w:tcPr>
          <w:p w14:paraId="7E027F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含自主验收</w:t>
            </w:r>
          </w:p>
        </w:tc>
      </w:tr>
      <w:tr w14:paraId="01D5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36" w:type="dxa"/>
            <w:noWrap w:val="0"/>
            <w:vAlign w:val="center"/>
          </w:tcPr>
          <w:p w14:paraId="45D0A9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PH探头</w:t>
            </w:r>
          </w:p>
        </w:tc>
        <w:tc>
          <w:tcPr>
            <w:tcW w:w="4548" w:type="dxa"/>
            <w:noWrap w:val="0"/>
            <w:vAlign w:val="center"/>
          </w:tcPr>
          <w:p w14:paraId="0EAC235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线长35米</w:t>
            </w:r>
          </w:p>
        </w:tc>
        <w:tc>
          <w:tcPr>
            <w:tcW w:w="915" w:type="dxa"/>
            <w:noWrap w:val="0"/>
            <w:vAlign w:val="center"/>
          </w:tcPr>
          <w:p w14:paraId="2B208B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085" w:type="dxa"/>
            <w:noWrap w:val="0"/>
            <w:vAlign w:val="center"/>
          </w:tcPr>
          <w:p w14:paraId="451CCC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适配：明特PH2200</w:t>
            </w:r>
          </w:p>
        </w:tc>
      </w:tr>
      <w:tr w14:paraId="4B5D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284" w:type="dxa"/>
            <w:gridSpan w:val="4"/>
            <w:noWrap w:val="0"/>
            <w:vAlign w:val="center"/>
          </w:tcPr>
          <w:p w14:paraId="45E6487F">
            <w:pPr>
              <w:keepNext w:val="0"/>
              <w:keepLines w:val="0"/>
              <w:pageBreakBefore w:val="0"/>
              <w:numPr>
                <w:ilvl w:val="0"/>
                <w:numId w:val="0"/>
              </w:numPr>
              <w:kinsoku/>
              <w:wordWrap/>
              <w:overflowPunct/>
              <w:topLinePunct w:val="0"/>
              <w:autoSpaceDE/>
              <w:autoSpaceDN/>
              <w:bidi w:val="0"/>
              <w:adjustRightInd/>
              <w:snapToGrid/>
              <w:spacing w:line="240" w:lineRule="auto"/>
              <w:textAlignment w:val="auto"/>
              <w:outlineLvl w:val="0"/>
              <w:rPr>
                <w:rFonts w:hint="default" w:ascii="宋体" w:hAnsi="宋体" w:eastAsia="宋体" w:cs="宋体"/>
                <w:b/>
                <w:sz w:val="28"/>
                <w:szCs w:val="28"/>
                <w:lang w:val="en-US" w:eastAsia="zh-CN"/>
              </w:rPr>
            </w:pPr>
            <w:bookmarkStart w:id="51" w:name="_Toc27207"/>
            <w:r>
              <w:rPr>
                <w:rFonts w:hint="eastAsia" w:ascii="宋体" w:hAnsi="宋体" w:eastAsia="宋体" w:cs="宋体"/>
                <w:b/>
                <w:sz w:val="28"/>
                <w:szCs w:val="28"/>
                <w:lang w:val="en-US" w:eastAsia="zh-CN"/>
              </w:rPr>
              <w:t>设备参数要求</w:t>
            </w:r>
          </w:p>
          <w:p w14:paraId="40EE5F21">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outlineLvl w:val="0"/>
              <w:rPr>
                <w:rFonts w:hint="eastAsia" w:ascii="宋体" w:hAnsi="宋体" w:eastAsia="宋体" w:cs="宋体"/>
                <w:sz w:val="21"/>
                <w:szCs w:val="21"/>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COD</w:t>
            </w:r>
            <w:r>
              <w:rPr>
                <w:rFonts w:hint="eastAsia" w:ascii="宋体" w:hAnsi="宋体" w:eastAsia="宋体" w:cs="宋体"/>
                <w:b/>
                <w:sz w:val="24"/>
                <w:szCs w:val="24"/>
                <w:vertAlign w:val="subscript"/>
              </w:rPr>
              <w:t>Cr</w:t>
            </w:r>
            <w:r>
              <w:rPr>
                <w:rFonts w:hint="eastAsia" w:ascii="宋体" w:hAnsi="宋体" w:eastAsia="宋体" w:cs="宋体"/>
                <w:b/>
                <w:sz w:val="24"/>
                <w:szCs w:val="24"/>
              </w:rPr>
              <w:t>在线分析仪</w:t>
            </w:r>
            <w:bookmarkEnd w:id="51"/>
          </w:p>
          <w:p w14:paraId="577F46FF">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
                <w:sz w:val="21"/>
                <w:szCs w:val="21"/>
              </w:rPr>
              <w:t>概述：</w:t>
            </w:r>
            <w:r>
              <w:rPr>
                <w:rFonts w:hint="eastAsia" w:ascii="宋体" w:hAnsi="宋体" w:eastAsia="宋体" w:cs="宋体"/>
                <w:sz w:val="21"/>
                <w:szCs w:val="21"/>
              </w:rPr>
              <w:t>化学需氧量表示在强酸性条件下</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"http://baike.baidu.com/view/454182.htm"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重铬酸钾</w:t>
            </w:r>
            <w:r>
              <w:rPr>
                <w:rFonts w:hint="eastAsia" w:ascii="宋体" w:hAnsi="宋体" w:eastAsia="宋体" w:cs="宋体"/>
                <w:sz w:val="21"/>
                <w:szCs w:val="21"/>
              </w:rPr>
              <w:fldChar w:fldCharType="end"/>
            </w:r>
            <w:r>
              <w:rPr>
                <w:rFonts w:hint="eastAsia" w:ascii="宋体" w:hAnsi="宋体" w:eastAsia="宋体" w:cs="宋体"/>
                <w:sz w:val="21"/>
                <w:szCs w:val="21"/>
              </w:rPr>
              <w:t>氧化一升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"http://baike.baidu.com/view/326888.htm"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污水</w:t>
            </w:r>
            <w:r>
              <w:rPr>
                <w:rFonts w:hint="eastAsia" w:ascii="宋体" w:hAnsi="宋体" w:eastAsia="宋体" w:cs="宋体"/>
                <w:sz w:val="21"/>
                <w:szCs w:val="21"/>
              </w:rPr>
              <w:fldChar w:fldCharType="end"/>
            </w:r>
            <w:r>
              <w:rPr>
                <w:rFonts w:hint="eastAsia" w:ascii="宋体" w:hAnsi="宋体" w:eastAsia="宋体" w:cs="宋体"/>
                <w:sz w:val="21"/>
                <w:szCs w:val="21"/>
              </w:rPr>
              <w:t>中有机物所需的氧量，可大致表示污水中的有机物量。COD是指标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"http://baike.baidu.com/view/631023.htm"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水体有机污染</w:t>
            </w:r>
            <w:r>
              <w:rPr>
                <w:rFonts w:hint="eastAsia" w:ascii="宋体" w:hAnsi="宋体" w:eastAsia="宋体" w:cs="宋体"/>
                <w:sz w:val="21"/>
                <w:szCs w:val="21"/>
              </w:rPr>
              <w:fldChar w:fldCharType="end"/>
            </w:r>
            <w:r>
              <w:rPr>
                <w:rFonts w:hint="eastAsia" w:ascii="宋体" w:hAnsi="宋体" w:eastAsia="宋体" w:cs="宋体"/>
                <w:sz w:val="21"/>
                <w:szCs w:val="21"/>
              </w:rPr>
              <w:t>的一项重要指标，能够反应出水体的污染程度。</w:t>
            </w:r>
          </w:p>
          <w:p w14:paraId="097263B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仪器特点：</w:t>
            </w:r>
          </w:p>
          <w:p w14:paraId="2F660F75">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●采用光电计量方式，使得进样准确，误差小；</w:t>
            </w:r>
          </w:p>
          <w:p w14:paraId="770C0706">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●密闭高温消解，在确保高氧化率的同时，大大缩短反应时间；</w:t>
            </w:r>
          </w:p>
          <w:p w14:paraId="75BDA294">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●蠕动泵负压吸入，避免泵管与试剂直接接触，增加泵管使用寿命；</w:t>
            </w:r>
          </w:p>
          <w:p w14:paraId="5414D24B">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●试剂管路均采用进口PTFE材质透明软管，减少了水样颗粒堵塞对系统测量的影响；</w:t>
            </w:r>
          </w:p>
          <w:p w14:paraId="37B7B365">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●故障率低，维护量少，试剂消耗量少；</w:t>
            </w:r>
          </w:p>
          <w:p w14:paraId="61BD91F0">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●氯离子掩蔽能力强，可分析含Cl</w:t>
            </w:r>
            <w:r>
              <w:rPr>
                <w:rFonts w:hint="eastAsia" w:ascii="宋体" w:hAnsi="宋体" w:eastAsia="宋体" w:cs="宋体"/>
                <w:sz w:val="21"/>
                <w:szCs w:val="21"/>
                <w:vertAlign w:val="superscript"/>
              </w:rPr>
              <w:t>—</w:t>
            </w:r>
            <w:r>
              <w:rPr>
                <w:rFonts w:hint="eastAsia" w:ascii="宋体" w:hAnsi="宋体" w:eastAsia="宋体" w:cs="宋体"/>
                <w:sz w:val="21"/>
                <w:szCs w:val="21"/>
              </w:rPr>
              <w:t>5000mg/L以下的污水；</w:t>
            </w:r>
          </w:p>
          <w:p w14:paraId="0DD8F667">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●拥有自动校准、自动标样核查功能，智能故障自诊断功能，并报警提示，使仪器管理和维护十分方便。</w:t>
            </w:r>
          </w:p>
          <w:p w14:paraId="309823E4">
            <w:pPr>
              <w:keepNext w:val="0"/>
              <w:keepLines w:val="0"/>
              <w:pageBreakBefore w:val="0"/>
              <w:numPr>
                <w:ilvl w:val="0"/>
                <w:numId w:val="0"/>
              </w:numPr>
              <w:tabs>
                <w:tab w:val="left" w:pos="540"/>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●通过环保认证</w:t>
            </w:r>
          </w:p>
          <w:p w14:paraId="5D07CF7A">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技术参数：</w:t>
            </w:r>
          </w:p>
          <w:p w14:paraId="4AAE7D80">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测量范围：5～2000mg/L（可扩展）</w:t>
            </w:r>
          </w:p>
          <w:p w14:paraId="62FA2D74">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准确度：&lt;50mg/L时，≤±5 mg/L；≥50mg/L时，≤±10%</w:t>
            </w:r>
          </w:p>
          <w:p w14:paraId="3284F25F">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重复性：≤3%</w:t>
            </w:r>
          </w:p>
          <w:p w14:paraId="348D4045">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零点漂移：24h内不超过±5mg/L</w:t>
            </w:r>
          </w:p>
          <w:p w14:paraId="07BE851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量程漂移：24h内不超过±5%F.S</w:t>
            </w:r>
          </w:p>
          <w:p w14:paraId="5E98E492">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单次测量时间：小于45分钟</w:t>
            </w:r>
          </w:p>
          <w:p w14:paraId="0D8523C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测量间隔时间：45~10000分钟的任意值</w:t>
            </w:r>
          </w:p>
          <w:p w14:paraId="38053640">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校准/标样核查周期：自动校准/标样核查的周期时间可人工选择</w:t>
            </w:r>
          </w:p>
          <w:p w14:paraId="0888350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用户维护：每月仅需1小时的维护时间</w:t>
            </w:r>
          </w:p>
          <w:p w14:paraId="5A47DDE0">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试剂容量：每天12个样，校正时间间隔为24小时的情况下，每套试剂可用1个月</w:t>
            </w:r>
          </w:p>
          <w:p w14:paraId="5D2A2CC9">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输出：1路电流输出：0/4-20 mA，最大负载500 Ω</w:t>
            </w:r>
          </w:p>
          <w:p w14:paraId="36DF9DEB">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2个多功能输出继电器：24V DC 3A</w:t>
            </w:r>
          </w:p>
          <w:p w14:paraId="73A329E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服务界面： RS485（232选配）仪器自带MODBUS通讯协议</w:t>
            </w:r>
          </w:p>
          <w:p w14:paraId="100677D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环境温度：+ 5° C～+ 40° C</w:t>
            </w:r>
          </w:p>
          <w:p w14:paraId="512E6CC5">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电源：220VAC±10%/50-60Hz</w:t>
            </w:r>
          </w:p>
          <w:p w14:paraId="29EDB873">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尺寸：宽665mm×高1460 mm×深595mm</w:t>
            </w:r>
          </w:p>
          <w:p w14:paraId="1B840C58">
            <w:pPr>
              <w:keepNext w:val="0"/>
              <w:keepLines w:val="0"/>
              <w:pageBreakBefore w:val="0"/>
              <w:kinsoku/>
              <w:wordWrap/>
              <w:overflowPunct/>
              <w:topLinePunct w:val="0"/>
              <w:autoSpaceDE/>
              <w:autoSpaceDN/>
              <w:bidi w:val="0"/>
              <w:adjustRightInd/>
              <w:snapToGrid/>
              <w:spacing w:line="240" w:lineRule="auto"/>
              <w:ind w:left="630" w:hanging="630" w:hangingChars="300"/>
              <w:jc w:val="left"/>
              <w:textAlignment w:val="auto"/>
              <w:rPr>
                <w:rFonts w:hint="eastAsia" w:ascii="宋体" w:hAnsi="宋体" w:eastAsia="宋体" w:cs="宋体"/>
                <w:sz w:val="21"/>
                <w:szCs w:val="21"/>
              </w:rPr>
            </w:pPr>
            <w:r>
              <w:rPr>
                <w:rFonts w:hint="eastAsia" w:ascii="宋体" w:hAnsi="宋体" w:eastAsia="宋体" w:cs="宋体"/>
                <w:sz w:val="21"/>
                <w:szCs w:val="21"/>
              </w:rPr>
              <w:t>其它：仪器异常报警；断电数据自动保存；7英寸6万色触摸屏显示及指令输入；异常复位和断电来电后自动恢复工作状态；废液分离；自动标样核查等。</w:t>
            </w:r>
          </w:p>
          <w:p w14:paraId="41FC371C">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sz w:val="24"/>
                <w:szCs w:val="24"/>
              </w:rPr>
            </w:pPr>
            <w:r>
              <w:rPr>
                <w:rFonts w:hint="eastAsia" w:ascii="宋体" w:hAnsi="宋体" w:eastAsia="宋体" w:cs="宋体"/>
                <w:b/>
                <w:sz w:val="24"/>
                <w:szCs w:val="24"/>
                <w:lang w:val="en-US" w:eastAsia="zh-CN"/>
              </w:rPr>
              <w:t>（二）TP</w:t>
            </w:r>
            <w:r>
              <w:rPr>
                <w:rFonts w:hint="eastAsia" w:ascii="宋体" w:hAnsi="宋体" w:eastAsia="宋体" w:cs="宋体"/>
                <w:b/>
                <w:sz w:val="24"/>
                <w:szCs w:val="24"/>
              </w:rPr>
              <w:t>在线分析仪</w:t>
            </w:r>
          </w:p>
          <w:p w14:paraId="521ECC2C">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（1）测量原理：基于钼酸铵分光光度法测定水样中的总磷(TP)。符合现行标准HJ/T 103-2003总磷水质自动分析仪技术要求，HJC-ZY97-2022水质总磷自动监测仪检测作业指导书，HJ 35X-2019水污染源在线监测系统(CODCr、NH3-N等)安装/验收/运行技术规范要求，测量数据与国标方法GB11893-89吻合性好。通过环保认证。</w:t>
            </w:r>
          </w:p>
          <w:p w14:paraId="7F868AE0">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（2）坚固耐用的柱塞泵+12通道旋转阀的一体化流路设计确保精准进样，高密度陶瓷阀芯防腐耐磨，有效延长维护间隔。</w:t>
            </w:r>
          </w:p>
          <w:p w14:paraId="5A9C813F">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（3）测量范围 ：0-120mg/L(现场工作量程满足HJ 355-2019及特殊行业设置要求) </w:t>
            </w:r>
          </w:p>
          <w:p w14:paraId="5461BC9E">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（4）示值误差： </w:t>
            </w:r>
          </w:p>
          <w:p w14:paraId="2C79B9BC">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0~0.2 mg/L: ±10% 或 ±0.006 mg/L 取较大值; </w:t>
            </w:r>
          </w:p>
          <w:p w14:paraId="03F7E6CD">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0.2~4 mg/L: ±5% 或 ±0.02 mg/L 取较大值; </w:t>
            </w:r>
          </w:p>
          <w:p w14:paraId="2C684412">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4~50 mg/L: ±3% 或 ±0.2 mg/L 取较大值; </w:t>
            </w:r>
          </w:p>
          <w:p w14:paraId="23A368B8">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50~120 mg/L: ±6%。 </w:t>
            </w:r>
          </w:p>
          <w:p w14:paraId="43542801">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（5）重复性： </w:t>
            </w:r>
          </w:p>
          <w:p w14:paraId="2FC4FF84">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 mg/L: ≤2% 或 0.002 mg/L；</w:t>
            </w:r>
          </w:p>
          <w:p w14:paraId="3AF5692B">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4~50 mg/L: ≤2%；</w:t>
            </w:r>
          </w:p>
          <w:p w14:paraId="06523954">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50~120 mg/L: ≤3%; </w:t>
            </w:r>
          </w:p>
          <w:p w14:paraId="1F0DE0BE">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（6）定量下限 ：≤ 0.01 mg/L； </w:t>
            </w:r>
          </w:p>
          <w:p w14:paraId="392362FB">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（7）内置标样核查功能：能根据核查结果自动完成校准和复核。可扩展质控模块实现任意指定浓度的标样核查和加标回收功能。 </w:t>
            </w:r>
          </w:p>
          <w:p w14:paraId="4EC895BE">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（8）内置质控功能，自动独立完成零点核查，跨度核查。 </w:t>
            </w:r>
          </w:p>
          <w:p w14:paraId="18D09CA0">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（9）内置废液分离功能，具备分析废液和清洗废水分开收集或排放的功能。</w:t>
            </w:r>
          </w:p>
          <w:p w14:paraId="4911CF3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(10)工作温度:5~40°C，相对湿度≤95%，无冷凝;</w:t>
            </w:r>
          </w:p>
          <w:p w14:paraId="24780D6A">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(11)测量周期:将仪器设置为以连续方式或按固定间隔时间开始测量循环。选项:关闭、连续、自定义(30到480分钟)、间隔(1小时、2小时或4小时)或外部触发;</w:t>
            </w:r>
          </w:p>
          <w:p w14:paraId="20BA427A">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(12)校准模式:按照选择的时间间隔自动校准或触发，支持穿插式校准;</w:t>
            </w:r>
          </w:p>
          <w:p w14:paraId="1CA03A59">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(13)仪器具有自动清洗功能;</w:t>
            </w:r>
          </w:p>
          <w:p w14:paraId="1C7BC36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(14)搭载先进的Prognosys 预诊断技术，Diagnose 诊断技术</w:t>
            </w:r>
          </w:p>
          <w:p w14:paraId="7848E4AF">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具备在线仪器软件平台的维护动作序列功能，可现场创建多样化维护动作列表，如仪表清洗、试剂灌注及个性化校准、标样回测等常用维护组合，一键启动，仪器自动逐一执行，极大提升运维效率，免去人员现场停留时间。</w:t>
            </w:r>
          </w:p>
          <w:p w14:paraId="7BAF8C30">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Prognosys预诊断功能:能就仪表即将出现的问题在屏幕上发出指示，并能通过数字接口输出，以便用户提前采取维护措施。指示信息可提供规划的预防性维护以及避免意外应对紧急情况所需的信息，能以进度条百分比的形式展示在屏幕上，方便用户识别。</w:t>
            </w:r>
          </w:p>
          <w:p w14:paraId="5F1819DC">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3)Diagnose自诊断功能:能自动完成仪器状况的诊断，能在屏幕上显示诊断结果、查询诊断信息，并能通过数字接口输出。</w:t>
            </w:r>
          </w:p>
          <w:p w14:paraId="52ED7624">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(15)显示:简体中文或英语，彩色触摸屏。</w:t>
            </w:r>
          </w:p>
          <w:p w14:paraId="52A27E8D">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(16)数据存储:可存储20000个数据点。</w:t>
            </w:r>
          </w:p>
          <w:p w14:paraId="6F9FD50B">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(17)通过USBA型(FAT32格式)接口可快速方便实现数据日志导出和软件升级。</w:t>
            </w:r>
          </w:p>
          <w:p w14:paraId="75CA5EA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(18)输入输出:</w:t>
            </w:r>
          </w:p>
          <w:p w14:paraId="2E9AD468">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1)数字通信:RS485,Modbus RTU协议</w:t>
            </w:r>
          </w:p>
          <w:p w14:paraId="47C540B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2)继电器输出:2路SPDT，额定电压24 VDC，额定电流最大3A</w:t>
            </w:r>
          </w:p>
          <w:p w14:paraId="6276215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3)模拟信号输出:2路4~20mA，最大负载500Ω</w:t>
            </w:r>
          </w:p>
          <w:p w14:paraId="66CA205C">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4)数字信号输入:1路</w:t>
            </w:r>
          </w:p>
          <w:p w14:paraId="5BF43743">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5)液位传感器输入:2路</w:t>
            </w:r>
          </w:p>
          <w:p w14:paraId="5F7982C4">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(19)防护等级:IP55(在机箱门关闭的情况下)，仅限室内使用</w:t>
            </w:r>
          </w:p>
          <w:p w14:paraId="5B24B718">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(20)电源:100~240VAC，50/60 Hz;</w:t>
            </w:r>
          </w:p>
          <w:p w14:paraId="17EF3AC1">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(21)额定功率:110W;</w:t>
            </w:r>
          </w:p>
          <w:p w14:paraId="2DD7B3A1">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(22)安装方式:壁挂式或桌面安装(室内);</w:t>
            </w:r>
          </w:p>
          <w:p w14:paraId="5D9DDD9C">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(23)平台化、耐腐蚀机箱设计(ABS+PC材质)，即使在恶劣工况也能长期使用。</w:t>
            </w:r>
          </w:p>
          <w:p w14:paraId="219DAFE7">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(24)创新性包装设计，全面符合ISTA2A要求，可提供第三方检测报告。</w:t>
            </w:r>
          </w:p>
          <w:p w14:paraId="03A50FE2">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(25)电磁兼性全面符合EN/IEC 61326-1,EN/IEC 61000-6-2,EN/IEC 61000-6-4,EN/IEC55011要求，可提供第三方检测报告。</w:t>
            </w:r>
          </w:p>
          <w:p w14:paraId="091E6D03">
            <w:pPr>
              <w:keepNext w:val="0"/>
              <w:keepLines w:val="0"/>
              <w:pageBreakBefore w:val="0"/>
              <w:kinsoku/>
              <w:wordWrap/>
              <w:overflowPunct/>
              <w:topLinePunct w:val="0"/>
              <w:autoSpaceDE/>
              <w:autoSpaceDN/>
              <w:bidi w:val="0"/>
              <w:adjustRightInd/>
              <w:snapToGrid/>
              <w:spacing w:line="240" w:lineRule="auto"/>
              <w:ind w:left="0" w:leftChars="0" w:right="401" w:rightChars="191"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(26)电气安全符合EN/IEC61010-1要求，可提供第三方检测报告。</w:t>
            </w:r>
          </w:p>
        </w:tc>
      </w:tr>
    </w:tbl>
    <w:p w14:paraId="40E7CA95">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注：供应商所提供产品必须要完全满足采购文件中的要求，本次采购接受正偏离，不接受负偏离，否则将作无效响应处理。</w:t>
      </w:r>
    </w:p>
    <w:p w14:paraId="359F6B64">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商务技术要求</w:t>
      </w:r>
      <w:r>
        <w:rPr>
          <w:rFonts w:hint="eastAsia" w:ascii="仿宋" w:hAnsi="仿宋" w:eastAsia="仿宋" w:cs="仿宋"/>
          <w:b/>
          <w:bCs/>
          <w:sz w:val="28"/>
          <w:szCs w:val="28"/>
        </w:rPr>
        <w:t>：</w:t>
      </w:r>
    </w:p>
    <w:p w14:paraId="02797445">
      <w:pPr>
        <w:tabs>
          <w:tab w:val="left" w:pos="6860"/>
          <w:tab w:val="left" w:pos="7140"/>
        </w:tabs>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质量要求：供应商须提供符合采购需求、从未使用过的全新设备，产品质量符合招标文件要求、行业及国家标准（供货时提供相关证明材料、有效产品合格证），经试运行满足使用要求并最终验收合格。供应商应踏勘现场，确保所供设备满足现场使用需要，因未认真复核导致设备无法满足按采购方要求的，采购方有权更换相应设备。</w:t>
      </w:r>
    </w:p>
    <w:p w14:paraId="692B3ABA">
      <w:pPr>
        <w:tabs>
          <w:tab w:val="left" w:pos="6860"/>
          <w:tab w:val="left" w:pos="7140"/>
        </w:tabs>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2.质保要求：本项目所有货物必须提供</w:t>
      </w: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年全免费质保（配件+人工）及售后服务。质保期内成交供应商应免费维修，质保期外的维修收费按国家和供应商的相关规定办理。所有设备质保时间为自验收合格之日起计。</w:t>
      </w:r>
    </w:p>
    <w:p w14:paraId="70D1FAF2">
      <w:pPr>
        <w:tabs>
          <w:tab w:val="left" w:pos="6860"/>
          <w:tab w:val="left" w:pos="7140"/>
        </w:tabs>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售后服务要求：在质保期内，同一商品、同一质量问题连续两次维修仍无法正常使用，供应商无条件给予全套更新。在免费质保期内，供应商在接到用户单位电话通知后，须8小时之内上门服务并负责修复。如需更换货物或送修，必须在12小时内提供备用货物，并在5个工作日内负责维修完毕并送至用户单位处。供应商超时或未在规定的时间内及时处理故障，每次罚1000元。</w:t>
      </w:r>
    </w:p>
    <w:p w14:paraId="2D31A89F">
      <w:pPr>
        <w:tabs>
          <w:tab w:val="left" w:pos="6860"/>
          <w:tab w:val="left" w:pos="7140"/>
        </w:tabs>
        <w:spacing w:line="48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4.交货、安装地点：中标通知书发出后30日内签订合同，供应商合同签订后，接采购单位书面通知</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日历天内完成供货及安装调试，若供应商未按照合同约定时间交货的，且未及时以书面形式向采购人提交延误原因，又无正当理由的，每推迟一天罚1000元，推迟7天及以上的则采购单位有权罚没所有履约保证金。</w:t>
      </w:r>
    </w:p>
    <w:p w14:paraId="0BE4364A">
      <w:pPr>
        <w:tabs>
          <w:tab w:val="left" w:pos="6860"/>
          <w:tab w:val="left" w:pos="7140"/>
        </w:tabs>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5.质保期内因设备异常导致被相关部门处罚的，每次罚5000元，所造成的一切损失由供应商承担。</w:t>
      </w:r>
    </w:p>
    <w:p w14:paraId="6BC5EA92">
      <w:pPr>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lang w:eastAsia="zh-CN"/>
        </w:rPr>
        <w:t>三</w:t>
      </w:r>
      <w:r>
        <w:rPr>
          <w:rFonts w:hint="eastAsia" w:ascii="仿宋" w:hAnsi="仿宋" w:eastAsia="仿宋" w:cs="仿宋"/>
          <w:b/>
          <w:bCs/>
          <w:kern w:val="0"/>
          <w:sz w:val="28"/>
          <w:szCs w:val="28"/>
        </w:rPr>
        <w:t>、保证金：</w:t>
      </w:r>
    </w:p>
    <w:p w14:paraId="19A21F21">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1.投标保证金:本项目免收投标保证金。</w:t>
      </w:r>
    </w:p>
    <w:p w14:paraId="05BFB5C5">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2.履约保证金：</w:t>
      </w:r>
      <w:r>
        <w:rPr>
          <w:rFonts w:ascii="仿宋" w:hAnsi="仿宋" w:eastAsia="仿宋" w:cs="仿宋"/>
          <w:kern w:val="0"/>
          <w:sz w:val="28"/>
          <w:szCs w:val="28"/>
        </w:rPr>
        <w:t>确定成交的供应商，必须在签订合同前向采购单位交纳履约保证金，履约保证金金额为成交金额的10％（缴纳形式：银行转账或银行汇票或保函）。成交供应商凭成交通知书与采购单位签订合同。超期或未有协商，则视为自动放弃成交资格，并列入城投集团不良信用库。</w:t>
      </w:r>
    </w:p>
    <w:p w14:paraId="43909054">
      <w:pPr>
        <w:spacing w:line="560" w:lineRule="exact"/>
        <w:ind w:firstLine="560" w:firstLineChars="200"/>
        <w:rPr>
          <w:rFonts w:ascii="仿宋" w:hAnsi="仿宋" w:eastAsia="仿宋" w:cs="仿宋"/>
          <w:kern w:val="0"/>
          <w:sz w:val="28"/>
          <w:szCs w:val="28"/>
        </w:rPr>
      </w:pPr>
      <w:r>
        <w:rPr>
          <w:rFonts w:ascii="仿宋" w:hAnsi="仿宋" w:eastAsia="仿宋" w:cs="仿宋"/>
          <w:kern w:val="0"/>
          <w:sz w:val="28"/>
          <w:szCs w:val="28"/>
        </w:rPr>
        <w:t>履约保证金在货物和服务到位并经采购人验收合格后退还（利息不计）。</w:t>
      </w:r>
    </w:p>
    <w:p w14:paraId="03AB1265">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3.发生以下情况的，履约保证金不予退还或部分退还：</w:t>
      </w:r>
    </w:p>
    <w:p w14:paraId="353F39CD">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a.签订合同后，成交供应商不履行合同义务的，采购单位有权全额扣除履约保证金，全额不予退还，同时采购单位亦有权终止合同，中标供应商还须承担相应的法律赔偿责任。</w:t>
      </w:r>
    </w:p>
    <w:p w14:paraId="7C2D2848">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17C22276">
      <w:pPr>
        <w:pStyle w:val="16"/>
        <w:widowControl/>
        <w:spacing w:line="44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zh-CN"/>
        </w:rPr>
        <w:t>付款方式：</w:t>
      </w:r>
    </w:p>
    <w:p w14:paraId="15A0E9B1">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货物安装调试完毕，自主验收合格并提交相应报告(电子版一份、纸质版三份)后付合同价的90%，余款10%于质保期满(从自主验收合格之日算起)无质量问题后付清。</w:t>
      </w:r>
    </w:p>
    <w:p w14:paraId="4D81B3BE">
      <w:pPr>
        <w:tabs>
          <w:tab w:val="left" w:pos="6860"/>
          <w:tab w:val="left" w:pos="7140"/>
        </w:tabs>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注:供应商申请付款的程序应符合采购人的财务规定，支付费用前要求供应商向采购人提供相应发票。</w:t>
      </w:r>
    </w:p>
    <w:p w14:paraId="61D7CED5">
      <w:pPr>
        <w:pStyle w:val="16"/>
        <w:widowControl/>
        <w:spacing w:line="440" w:lineRule="exact"/>
        <w:ind w:firstLine="562" w:firstLineChars="200"/>
        <w:jc w:val="both"/>
        <w:rPr>
          <w:rFonts w:ascii="仿宋" w:hAnsi="仿宋" w:eastAsia="仿宋" w:cs="仿宋"/>
          <w:b/>
          <w:bCs/>
          <w:sz w:val="28"/>
          <w:szCs w:val="28"/>
        </w:rPr>
      </w:pPr>
      <w:r>
        <w:rPr>
          <w:rFonts w:hint="eastAsia" w:ascii="仿宋" w:hAnsi="仿宋" w:eastAsia="仿宋" w:cs="仿宋"/>
          <w:b/>
          <w:bCs/>
          <w:sz w:val="28"/>
          <w:szCs w:val="28"/>
          <w:lang w:eastAsia="zh-CN"/>
        </w:rPr>
        <w:t>五</w:t>
      </w:r>
      <w:r>
        <w:rPr>
          <w:rFonts w:ascii="仿宋" w:hAnsi="仿宋" w:eastAsia="仿宋" w:cs="仿宋"/>
          <w:b/>
          <w:bCs/>
          <w:sz w:val="28"/>
          <w:szCs w:val="28"/>
        </w:rPr>
        <w:t>、成交原则：</w:t>
      </w:r>
    </w:p>
    <w:p w14:paraId="76AEDA37">
      <w:pPr>
        <w:tabs>
          <w:tab w:val="left" w:pos="6860"/>
          <w:tab w:val="left" w:pos="7140"/>
        </w:tabs>
        <w:spacing w:line="52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1、符合采购需求且报价最低；</w:t>
      </w:r>
    </w:p>
    <w:p w14:paraId="5F635925">
      <w:pPr>
        <w:tabs>
          <w:tab w:val="left" w:pos="6860"/>
          <w:tab w:val="left" w:pos="7140"/>
        </w:tabs>
        <w:spacing w:line="52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2、投标报价为项目的总价，不得将项目拆分或选择性报价；</w:t>
      </w:r>
    </w:p>
    <w:p w14:paraId="0CB4FA16">
      <w:pPr>
        <w:tabs>
          <w:tab w:val="left" w:pos="6860"/>
          <w:tab w:val="left" w:pos="7140"/>
        </w:tabs>
        <w:spacing w:line="52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3、成交人不得用以任何方式转包或分包本项目。</w:t>
      </w:r>
    </w:p>
    <w:p w14:paraId="1C9F7B86">
      <w:pPr>
        <w:tabs>
          <w:tab w:val="left" w:pos="6860"/>
          <w:tab w:val="left" w:pos="7140"/>
        </w:tabs>
        <w:spacing w:line="520" w:lineRule="exact"/>
        <w:ind w:firstLine="562" w:firstLineChars="200"/>
        <w:jc w:val="left"/>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注:中标供应商存在无正当理由放弃中标资格、不与采购人订立合同、拒不提供履约担保、不履行合同情形的、被终止合同的，将列入启东城投集团有限公司及下属子公司黑名单，近两年内拒绝其投标。</w:t>
      </w:r>
    </w:p>
    <w:p w14:paraId="29843107">
      <w:pPr>
        <w:pStyle w:val="16"/>
        <w:widowControl/>
        <w:spacing w:line="440" w:lineRule="exact"/>
        <w:ind w:firstLine="562" w:firstLineChars="200"/>
        <w:jc w:val="both"/>
        <w:rPr>
          <w:rFonts w:hint="eastAsia" w:ascii="仿宋" w:hAnsi="仿宋" w:eastAsia="仿宋" w:cs="仿宋"/>
          <w:b/>
          <w:bCs/>
          <w:sz w:val="28"/>
          <w:szCs w:val="28"/>
          <w:lang w:val="zh-CN"/>
        </w:rPr>
      </w:pPr>
    </w:p>
    <w:p w14:paraId="469248FC">
      <w:pPr>
        <w:pStyle w:val="16"/>
        <w:widowControl/>
        <w:spacing w:line="440" w:lineRule="exact"/>
        <w:ind w:firstLine="562" w:firstLineChars="200"/>
        <w:jc w:val="both"/>
        <w:rPr>
          <w:rFonts w:hint="eastAsia" w:ascii="仿宋" w:hAnsi="仿宋" w:eastAsia="仿宋" w:cs="仿宋"/>
          <w:b/>
          <w:bCs/>
          <w:sz w:val="28"/>
          <w:szCs w:val="28"/>
          <w:lang w:val="zh-CN"/>
        </w:rPr>
      </w:pPr>
    </w:p>
    <w:p w14:paraId="24E91A26">
      <w:pPr>
        <w:pStyle w:val="16"/>
        <w:widowControl/>
        <w:spacing w:line="440" w:lineRule="exact"/>
        <w:ind w:firstLine="562" w:firstLineChars="200"/>
        <w:jc w:val="both"/>
        <w:rPr>
          <w:rFonts w:hint="eastAsia" w:ascii="仿宋" w:hAnsi="仿宋" w:eastAsia="仿宋" w:cs="仿宋"/>
          <w:b/>
          <w:bCs/>
          <w:sz w:val="28"/>
          <w:szCs w:val="28"/>
          <w:lang w:val="zh-CN"/>
        </w:rPr>
      </w:pPr>
    </w:p>
    <w:p w14:paraId="2A7EF12C">
      <w:pPr>
        <w:pStyle w:val="16"/>
        <w:widowControl/>
        <w:spacing w:line="440" w:lineRule="exact"/>
        <w:ind w:firstLine="562" w:firstLineChars="200"/>
        <w:jc w:val="both"/>
        <w:rPr>
          <w:rFonts w:hint="eastAsia" w:ascii="仿宋" w:hAnsi="仿宋" w:eastAsia="仿宋" w:cs="仿宋"/>
          <w:b/>
          <w:bCs/>
          <w:sz w:val="28"/>
          <w:szCs w:val="28"/>
          <w:lang w:val="zh-CN"/>
        </w:rPr>
      </w:pPr>
    </w:p>
    <w:p w14:paraId="0485173E">
      <w:pPr>
        <w:pStyle w:val="16"/>
        <w:widowControl/>
        <w:spacing w:line="440" w:lineRule="exact"/>
        <w:ind w:firstLine="562" w:firstLineChars="200"/>
        <w:jc w:val="both"/>
        <w:rPr>
          <w:rFonts w:hint="eastAsia" w:ascii="仿宋" w:hAnsi="仿宋" w:eastAsia="仿宋" w:cs="仿宋"/>
          <w:b/>
          <w:bCs/>
          <w:sz w:val="28"/>
          <w:szCs w:val="28"/>
          <w:lang w:val="zh-CN"/>
        </w:rPr>
      </w:pPr>
    </w:p>
    <w:p w14:paraId="2447CC5C">
      <w:pPr>
        <w:pStyle w:val="16"/>
        <w:widowControl/>
        <w:spacing w:line="440" w:lineRule="exact"/>
        <w:ind w:firstLine="562" w:firstLineChars="200"/>
        <w:jc w:val="both"/>
        <w:rPr>
          <w:rFonts w:hint="eastAsia" w:ascii="仿宋" w:hAnsi="仿宋" w:eastAsia="仿宋" w:cs="仿宋"/>
          <w:b/>
          <w:bCs/>
          <w:sz w:val="28"/>
          <w:szCs w:val="28"/>
          <w:lang w:val="zh-CN"/>
        </w:rPr>
      </w:pPr>
    </w:p>
    <w:p w14:paraId="2C7A030E">
      <w:pPr>
        <w:pStyle w:val="16"/>
        <w:widowControl/>
        <w:spacing w:line="440" w:lineRule="exact"/>
        <w:ind w:firstLine="562" w:firstLineChars="200"/>
        <w:jc w:val="both"/>
        <w:rPr>
          <w:rFonts w:hint="eastAsia" w:ascii="仿宋" w:hAnsi="仿宋" w:eastAsia="仿宋" w:cs="仿宋"/>
          <w:b/>
          <w:bCs/>
          <w:sz w:val="28"/>
          <w:szCs w:val="28"/>
          <w:lang w:val="zh-CN"/>
        </w:rPr>
      </w:pPr>
    </w:p>
    <w:p w14:paraId="2886A8C7">
      <w:pPr>
        <w:pStyle w:val="16"/>
        <w:widowControl/>
        <w:spacing w:line="440" w:lineRule="exact"/>
        <w:ind w:firstLine="562" w:firstLineChars="200"/>
        <w:jc w:val="both"/>
        <w:rPr>
          <w:rFonts w:hint="eastAsia" w:ascii="仿宋" w:hAnsi="仿宋" w:eastAsia="仿宋" w:cs="仿宋"/>
          <w:b/>
          <w:bCs/>
          <w:sz w:val="28"/>
          <w:szCs w:val="28"/>
          <w:lang w:val="zh-CN"/>
        </w:rPr>
      </w:pPr>
    </w:p>
    <w:p w14:paraId="5917EEC6">
      <w:pPr>
        <w:pStyle w:val="16"/>
        <w:widowControl/>
        <w:spacing w:line="440" w:lineRule="exact"/>
        <w:ind w:firstLine="562" w:firstLineChars="200"/>
        <w:jc w:val="both"/>
        <w:rPr>
          <w:rFonts w:hint="eastAsia" w:ascii="仿宋" w:hAnsi="仿宋" w:eastAsia="仿宋" w:cs="仿宋"/>
          <w:b/>
          <w:bCs/>
          <w:sz w:val="28"/>
          <w:szCs w:val="28"/>
          <w:lang w:val="zh-CN"/>
        </w:rPr>
      </w:pPr>
    </w:p>
    <w:p w14:paraId="4B293153">
      <w:pPr>
        <w:pStyle w:val="16"/>
        <w:widowControl/>
        <w:spacing w:line="440" w:lineRule="exact"/>
        <w:ind w:firstLine="562" w:firstLineChars="200"/>
        <w:jc w:val="both"/>
        <w:rPr>
          <w:rFonts w:hint="eastAsia" w:ascii="仿宋" w:hAnsi="仿宋" w:eastAsia="仿宋" w:cs="仿宋"/>
          <w:b/>
          <w:bCs/>
          <w:sz w:val="28"/>
          <w:szCs w:val="28"/>
          <w:lang w:val="zh-CN"/>
        </w:rPr>
      </w:pPr>
    </w:p>
    <w:p w14:paraId="4528D361">
      <w:pPr>
        <w:pStyle w:val="16"/>
        <w:widowControl/>
        <w:spacing w:line="440" w:lineRule="exact"/>
        <w:ind w:firstLine="562" w:firstLineChars="200"/>
        <w:jc w:val="both"/>
        <w:rPr>
          <w:rFonts w:ascii="仿宋" w:hAnsi="仿宋" w:eastAsia="仿宋" w:cs="仿宋"/>
          <w:b/>
          <w:bCs/>
          <w:sz w:val="28"/>
          <w:szCs w:val="28"/>
          <w:lang w:val="zh-CN"/>
        </w:rPr>
      </w:pPr>
    </w:p>
    <w:p w14:paraId="5BBCA984">
      <w:pPr>
        <w:pStyle w:val="4"/>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 w:val="0"/>
          <w:sz w:val="36"/>
          <w:szCs w:val="36"/>
        </w:rPr>
        <w:t>第四部分  响应文件组成</w:t>
      </w:r>
    </w:p>
    <w:p w14:paraId="38DEDE0E">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响应文件由资格审查证明材料、价格标二部分组成。请供应商根据询价公告的要求在以上二部分中分别提供响应的材料。</w:t>
      </w:r>
    </w:p>
    <w:p w14:paraId="0FEFE568">
      <w:pPr>
        <w:pStyle w:val="16"/>
        <w:widowControl/>
        <w:spacing w:line="440" w:lineRule="exact"/>
        <w:ind w:firstLine="560"/>
        <w:jc w:val="both"/>
        <w:rPr>
          <w:rFonts w:ascii="宋体" w:hAnsi="宋体" w:cs="宋体"/>
          <w:sz w:val="28"/>
          <w:szCs w:val="28"/>
        </w:rPr>
      </w:pPr>
      <w:r>
        <w:rPr>
          <w:rFonts w:hint="eastAsia" w:asciiTheme="minorEastAsia" w:hAnsiTheme="minorEastAsia" w:eastAsiaTheme="minorEastAsia"/>
          <w:b/>
          <w:bCs/>
          <w:sz w:val="28"/>
          <w:szCs w:val="28"/>
        </w:rPr>
        <w:t>一、资格审查证明材料（不能出现价格标）</w:t>
      </w:r>
    </w:p>
    <w:p w14:paraId="68A2E698">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（1）报价承诺书（按照附件</w:t>
      </w:r>
      <w:r>
        <w:rPr>
          <w:rFonts w:hint="eastAsia" w:ascii="仿宋" w:hAnsi="仿宋" w:eastAsia="仿宋" w:cs="仿宋"/>
          <w:kern w:val="0"/>
          <w:sz w:val="28"/>
          <w:szCs w:val="28"/>
          <w:lang w:eastAsia="zh-CN"/>
        </w:rPr>
        <w:t>一</w:t>
      </w:r>
      <w:r>
        <w:rPr>
          <w:rFonts w:hint="eastAsia" w:ascii="仿宋" w:hAnsi="仿宋" w:eastAsia="仿宋" w:cs="仿宋"/>
          <w:kern w:val="0"/>
          <w:sz w:val="28"/>
          <w:szCs w:val="28"/>
        </w:rPr>
        <w:t>格式填写）；</w:t>
      </w:r>
    </w:p>
    <w:p w14:paraId="4A25E835">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（2）法定代表人身份证明书、法定代表人身份证正反面复印件（按照附件二格式填写）</w:t>
      </w:r>
    </w:p>
    <w:p w14:paraId="1A5D5344">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（3）法定代表人授权委托书及被授权人身份证正反面复印件（</w:t>
      </w:r>
      <w:bookmarkStart w:id="52" w:name="OLE_LINK8"/>
      <w:bookmarkStart w:id="53" w:name="OLE_LINK7"/>
      <w:r>
        <w:rPr>
          <w:rFonts w:hint="eastAsia" w:ascii="仿宋" w:hAnsi="仿宋" w:eastAsia="仿宋" w:cs="仿宋"/>
          <w:kern w:val="0"/>
          <w:sz w:val="28"/>
          <w:szCs w:val="28"/>
        </w:rPr>
        <w:t>按照附件三格式填写</w:t>
      </w:r>
      <w:bookmarkEnd w:id="52"/>
      <w:bookmarkEnd w:id="53"/>
      <w:r>
        <w:rPr>
          <w:rFonts w:hint="eastAsia" w:ascii="仿宋" w:hAnsi="仿宋" w:eastAsia="仿宋" w:cs="仿宋"/>
          <w:kern w:val="0"/>
          <w:sz w:val="28"/>
          <w:szCs w:val="28"/>
        </w:rPr>
        <w:t>，非法定代表人参加投标时提交）；</w:t>
      </w:r>
    </w:p>
    <w:p w14:paraId="25A14152">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（4）有效的企业法人营业执照复印件；</w:t>
      </w:r>
    </w:p>
    <w:p w14:paraId="2BD023B0">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（5）质保承诺书（按照附件四格式填写）；</w:t>
      </w:r>
    </w:p>
    <w:p w14:paraId="33FF95EF">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（6）参加采购活动前三年内在经营活动中没有重大违法记录的书面声明（按照附件五格式填写）。</w:t>
      </w:r>
    </w:p>
    <w:p w14:paraId="72FBB477">
      <w:pPr>
        <w:pStyle w:val="16"/>
        <w:widowControl/>
        <w:spacing w:line="440" w:lineRule="exact"/>
        <w:ind w:firstLine="562"/>
        <w:jc w:val="both"/>
        <w:rPr>
          <w:rFonts w:ascii="宋体" w:hAnsi="宋体" w:cs="宋体"/>
          <w:b/>
          <w:sz w:val="28"/>
          <w:szCs w:val="28"/>
        </w:rPr>
      </w:pPr>
      <w:r>
        <w:rPr>
          <w:rFonts w:hint="eastAsia" w:ascii="宋体" w:hAnsi="宋体" w:cs="宋体"/>
          <w:b/>
          <w:sz w:val="28"/>
          <w:szCs w:val="28"/>
        </w:rPr>
        <w:t>备注：上述复印件均需加盖单位公章，否则将被视作资格审查不通过。</w:t>
      </w:r>
    </w:p>
    <w:p w14:paraId="76110D29">
      <w:pPr>
        <w:pStyle w:val="16"/>
        <w:widowControl/>
        <w:spacing w:line="440" w:lineRule="exact"/>
        <w:ind w:firstLine="56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w:t>
      </w:r>
      <w:r>
        <w:rPr>
          <w:rFonts w:hint="eastAsia" w:ascii="仿宋" w:hAnsi="仿宋" w:eastAsia="仿宋" w:cs="仿宋"/>
          <w:b/>
          <w:bCs/>
          <w:sz w:val="28"/>
          <w:szCs w:val="28"/>
          <w:lang w:val="zh-CN"/>
        </w:rPr>
        <w:t>价格响应文件</w:t>
      </w:r>
    </w:p>
    <w:p w14:paraId="02B7140F">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1.报价表（按照附件六格式填写）。</w:t>
      </w:r>
    </w:p>
    <w:p w14:paraId="32B5BE80">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2.如有其他情况需要说明的，可另附页说明。所有报价材料复印件均须加盖报价单位公章，否则视为无效报价；</w:t>
      </w:r>
    </w:p>
    <w:p w14:paraId="0681E5E4">
      <w:pPr>
        <w:adjustRightInd w:val="0"/>
        <w:snapToGrid w:val="0"/>
        <w:spacing w:line="500" w:lineRule="exact"/>
        <w:ind w:firstLine="560" w:firstLineChars="200"/>
        <w:rPr>
          <w:rFonts w:ascii="仿宋" w:hAnsi="仿宋" w:eastAsia="仿宋" w:cs="仿宋"/>
          <w:kern w:val="0"/>
          <w:sz w:val="28"/>
          <w:szCs w:val="28"/>
        </w:rPr>
      </w:pPr>
    </w:p>
    <w:p w14:paraId="1F576833">
      <w:pPr>
        <w:adjustRightInd w:val="0"/>
        <w:snapToGrid w:val="0"/>
        <w:spacing w:line="500" w:lineRule="exact"/>
        <w:ind w:firstLine="562" w:firstLineChars="200"/>
        <w:jc w:val="left"/>
        <w:rPr>
          <w:rFonts w:ascii="仿宋" w:hAnsi="仿宋" w:eastAsia="仿宋" w:cs="仿宋"/>
          <w:lang w:val="zh-CN"/>
        </w:rPr>
      </w:pPr>
      <w:r>
        <w:rPr>
          <w:rFonts w:hint="eastAsia" w:ascii="仿宋" w:hAnsi="仿宋" w:eastAsia="仿宋" w:cs="仿宋"/>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2E1EE276">
      <w:pPr>
        <w:pStyle w:val="16"/>
        <w:widowControl/>
        <w:spacing w:line="440" w:lineRule="exact"/>
        <w:ind w:firstLine="562" w:firstLineChars="200"/>
        <w:jc w:val="both"/>
        <w:rPr>
          <w:rFonts w:ascii="宋体" w:hAnsi="宋体" w:cs="宋体"/>
          <w:b/>
          <w:sz w:val="28"/>
          <w:szCs w:val="28"/>
        </w:rPr>
      </w:pPr>
    </w:p>
    <w:p w14:paraId="10DBBBDC">
      <w:pPr>
        <w:pStyle w:val="16"/>
        <w:widowControl/>
        <w:spacing w:line="440" w:lineRule="exact"/>
        <w:ind w:firstLine="562" w:firstLineChars="200"/>
        <w:jc w:val="both"/>
        <w:rPr>
          <w:rFonts w:ascii="宋体" w:hAnsi="宋体" w:cs="宋体"/>
          <w:b/>
          <w:sz w:val="28"/>
          <w:szCs w:val="28"/>
        </w:rPr>
      </w:pPr>
    </w:p>
    <w:p w14:paraId="17CAC840">
      <w:pPr>
        <w:pStyle w:val="16"/>
        <w:widowControl/>
        <w:spacing w:line="440" w:lineRule="exact"/>
        <w:ind w:firstLine="562" w:firstLineChars="200"/>
        <w:jc w:val="both"/>
        <w:rPr>
          <w:rFonts w:ascii="宋体" w:hAnsi="宋体" w:cs="宋体"/>
          <w:b/>
          <w:sz w:val="28"/>
          <w:szCs w:val="28"/>
        </w:rPr>
      </w:pPr>
    </w:p>
    <w:p w14:paraId="17AD3B8A">
      <w:pPr>
        <w:pStyle w:val="10"/>
      </w:pPr>
    </w:p>
    <w:p w14:paraId="0B94862F"/>
    <w:p w14:paraId="15E7A5B9">
      <w:pPr>
        <w:pStyle w:val="10"/>
      </w:pPr>
    </w:p>
    <w:p w14:paraId="76575400">
      <w:pPr>
        <w:snapToGrid w:val="0"/>
        <w:spacing w:line="300" w:lineRule="auto"/>
        <w:jc w:val="left"/>
        <w:rPr>
          <w:rFonts w:ascii="宋体" w:hAnsi="宋体" w:cs="宋体"/>
          <w:b/>
          <w:sz w:val="28"/>
          <w:szCs w:val="28"/>
        </w:rPr>
      </w:pPr>
      <w:r>
        <w:rPr>
          <w:rFonts w:hint="eastAsia" w:ascii="宋体" w:hAnsi="宋体" w:cs="宋体"/>
          <w:b/>
          <w:sz w:val="28"/>
          <w:szCs w:val="28"/>
        </w:rPr>
        <w:t>附件一：</w:t>
      </w:r>
    </w:p>
    <w:p w14:paraId="0EEE5BBB">
      <w:pPr>
        <w:spacing w:line="500" w:lineRule="exact"/>
        <w:jc w:val="center"/>
        <w:rPr>
          <w:rFonts w:ascii="宋体" w:hAnsi="宋体"/>
          <w:b/>
          <w:sz w:val="32"/>
          <w:szCs w:val="32"/>
        </w:rPr>
      </w:pPr>
      <w:r>
        <w:rPr>
          <w:rFonts w:hint="eastAsia" w:ascii="宋体" w:hAnsi="宋体"/>
          <w:b/>
          <w:sz w:val="32"/>
          <w:szCs w:val="32"/>
        </w:rPr>
        <w:t>报 价 承 诺 书</w:t>
      </w:r>
    </w:p>
    <w:p w14:paraId="53927DD9">
      <w:pPr>
        <w:widowControl/>
        <w:spacing w:line="460" w:lineRule="exact"/>
        <w:jc w:val="left"/>
        <w:rPr>
          <w:rFonts w:ascii="仿宋" w:hAnsi="仿宋" w:eastAsia="仿宋" w:cs="仿宋"/>
          <w:kern w:val="0"/>
          <w:sz w:val="28"/>
          <w:szCs w:val="28"/>
        </w:rPr>
      </w:pPr>
      <w:bookmarkStart w:id="54" w:name="OLE_LINK39"/>
      <w:bookmarkStart w:id="55" w:name="OLE_LINK40"/>
      <w:r>
        <w:rPr>
          <w:rFonts w:hint="eastAsia" w:ascii="仿宋" w:hAnsi="仿宋" w:eastAsia="仿宋" w:cs="仿宋"/>
          <w:kern w:val="0"/>
          <w:sz w:val="28"/>
          <w:szCs w:val="28"/>
        </w:rPr>
        <w:t>启东市城市水处理有限公司</w:t>
      </w:r>
      <w:bookmarkEnd w:id="54"/>
      <w:bookmarkEnd w:id="55"/>
      <w:r>
        <w:rPr>
          <w:rFonts w:hint="eastAsia" w:ascii="仿宋" w:hAnsi="仿宋" w:eastAsia="仿宋" w:cs="仿宋"/>
          <w:kern w:val="0"/>
          <w:sz w:val="28"/>
          <w:szCs w:val="28"/>
        </w:rPr>
        <w:t>：</w:t>
      </w:r>
    </w:p>
    <w:p w14:paraId="06FC682B">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u w:val="single"/>
        </w:rPr>
        <w:t>（报价单位全称）</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（姓  名）（职  务）</w:t>
      </w:r>
      <w:r>
        <w:rPr>
          <w:rFonts w:hint="eastAsia" w:ascii="仿宋" w:hAnsi="仿宋" w:eastAsia="仿宋" w:cs="仿宋"/>
          <w:kern w:val="0"/>
          <w:sz w:val="28"/>
          <w:szCs w:val="28"/>
        </w:rPr>
        <w:t>为全权代表，参加</w:t>
      </w:r>
      <w:r>
        <w:rPr>
          <w:rFonts w:hint="eastAsia" w:ascii="仿宋" w:hAnsi="仿宋" w:eastAsia="仿宋" w:cs="仿宋"/>
          <w:b/>
          <w:kern w:val="0"/>
          <w:sz w:val="28"/>
          <w:szCs w:val="28"/>
          <w:u w:val="single"/>
          <w:lang w:val="en-US" w:eastAsia="zh-CN"/>
        </w:rPr>
        <w:t>启东市城市水处理有限公司出水COD、TP、PH在线仪表采购</w:t>
      </w:r>
      <w:r>
        <w:rPr>
          <w:rFonts w:hint="eastAsia" w:ascii="仿宋" w:hAnsi="仿宋" w:eastAsia="仿宋" w:cs="仿宋"/>
          <w:b/>
          <w:kern w:val="0"/>
          <w:sz w:val="28"/>
          <w:szCs w:val="28"/>
          <w:u w:val="single"/>
        </w:rPr>
        <w:t>项目</w:t>
      </w:r>
      <w:r>
        <w:rPr>
          <w:rFonts w:hint="eastAsia" w:ascii="宋体" w:hAnsi="宋体"/>
          <w:kern w:val="0"/>
          <w:sz w:val="24"/>
        </w:rPr>
        <w:t>询</w:t>
      </w:r>
      <w:r>
        <w:rPr>
          <w:rFonts w:hint="eastAsia" w:ascii="仿宋" w:hAnsi="仿宋" w:eastAsia="仿宋" w:cs="仿宋"/>
          <w:kern w:val="0"/>
          <w:sz w:val="28"/>
          <w:szCs w:val="28"/>
        </w:rPr>
        <w:t>价的有关活动，并宣布同意如下：</w:t>
      </w:r>
    </w:p>
    <w:p w14:paraId="3F73301A">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1．我方愿意按照报价文件的全部要求进行报价（报价内容及价格以报价文件为准）。</w:t>
      </w:r>
    </w:p>
    <w:p w14:paraId="54B6282E">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2．我方完全理解并同意放弃对询价公告有不明及误解的权利。</w:t>
      </w:r>
    </w:p>
    <w:p w14:paraId="14213311">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3．我方将按询价公告的规定履行合同责任和义务。</w:t>
      </w:r>
    </w:p>
    <w:p w14:paraId="4683484F">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4．我方同意提供按照贵方可能要求的与其报价有关的一切数据或资料，理解并同意贵方的评标办法。</w:t>
      </w:r>
    </w:p>
    <w:p w14:paraId="43898D74">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5．我方的报价文件自开标后60天内有效。</w:t>
      </w:r>
    </w:p>
    <w:p w14:paraId="0F3BA5D4">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6．与本报价有关的一切往来通讯请寄：</w:t>
      </w:r>
    </w:p>
    <w:p w14:paraId="131DA468">
      <w:pPr>
        <w:spacing w:line="500" w:lineRule="exact"/>
        <w:ind w:firstLine="480" w:firstLineChars="200"/>
        <w:rPr>
          <w:rFonts w:ascii="宋体" w:hAnsi="宋体"/>
          <w:sz w:val="24"/>
        </w:rPr>
      </w:pPr>
      <w:r>
        <w:rPr>
          <w:rFonts w:hint="eastAsia" w:ascii="宋体" w:hAnsi="宋体"/>
          <w:sz w:val="24"/>
        </w:rPr>
        <w:t>地址：</w:t>
      </w:r>
      <w:r>
        <w:rPr>
          <w:rFonts w:hint="eastAsia" w:ascii="宋体" w:hAnsi="宋体"/>
          <w:sz w:val="24"/>
          <w:u w:val="single"/>
        </w:rPr>
        <w:t>　　　　　　　　　　</w:t>
      </w:r>
      <w:r>
        <w:rPr>
          <w:rFonts w:hint="eastAsia" w:ascii="宋体" w:hAnsi="宋体"/>
          <w:sz w:val="24"/>
        </w:rPr>
        <w:t>　邮编：</w:t>
      </w:r>
      <w:r>
        <w:rPr>
          <w:rFonts w:hint="eastAsia" w:ascii="宋体" w:hAnsi="宋体"/>
          <w:sz w:val="24"/>
          <w:u w:val="single"/>
        </w:rPr>
        <w:t>　　　　　　　　　　</w:t>
      </w:r>
    </w:p>
    <w:p w14:paraId="0CD1F617">
      <w:pPr>
        <w:spacing w:line="500" w:lineRule="exact"/>
        <w:ind w:firstLine="480" w:firstLineChars="200"/>
        <w:rPr>
          <w:rFonts w:ascii="宋体" w:hAnsi="宋体"/>
          <w:sz w:val="24"/>
        </w:rPr>
      </w:pPr>
      <w:r>
        <w:rPr>
          <w:rFonts w:hint="eastAsia" w:ascii="宋体" w:hAnsi="宋体"/>
          <w:sz w:val="24"/>
        </w:rPr>
        <w:t>电话：</w:t>
      </w:r>
      <w:r>
        <w:rPr>
          <w:rFonts w:hint="eastAsia" w:ascii="宋体" w:hAnsi="宋体"/>
          <w:sz w:val="24"/>
          <w:u w:val="single"/>
        </w:rPr>
        <w:t>　　　　　　　　　　</w:t>
      </w:r>
      <w:r>
        <w:rPr>
          <w:rFonts w:hint="eastAsia" w:ascii="宋体" w:hAnsi="宋体"/>
          <w:sz w:val="24"/>
        </w:rPr>
        <w:t>　传真：</w:t>
      </w:r>
      <w:r>
        <w:rPr>
          <w:rFonts w:hint="eastAsia" w:ascii="宋体" w:hAnsi="宋体"/>
          <w:sz w:val="24"/>
          <w:u w:val="single"/>
        </w:rPr>
        <w:t>　　　　　　　　　　</w:t>
      </w:r>
    </w:p>
    <w:p w14:paraId="583C2492">
      <w:pPr>
        <w:spacing w:line="500" w:lineRule="exact"/>
        <w:ind w:firstLine="480" w:firstLineChars="200"/>
        <w:rPr>
          <w:rFonts w:ascii="宋体" w:hAnsi="宋体"/>
          <w:sz w:val="24"/>
        </w:rPr>
      </w:pPr>
      <w:r>
        <w:rPr>
          <w:rFonts w:hint="eastAsia" w:ascii="宋体" w:hAnsi="宋体"/>
          <w:sz w:val="24"/>
        </w:rPr>
        <w:t>报价单位代表姓名：</w:t>
      </w:r>
      <w:r>
        <w:rPr>
          <w:rFonts w:hint="eastAsia" w:ascii="宋体" w:hAnsi="宋体"/>
          <w:sz w:val="24"/>
          <w:u w:val="single"/>
        </w:rPr>
        <w:t>　　　　　　</w:t>
      </w:r>
      <w:r>
        <w:rPr>
          <w:rFonts w:hint="eastAsia" w:ascii="宋体" w:hAnsi="宋体"/>
          <w:sz w:val="24"/>
        </w:rPr>
        <w:t>职务：</w:t>
      </w:r>
      <w:r>
        <w:rPr>
          <w:rFonts w:hint="eastAsia" w:ascii="宋体" w:hAnsi="宋体"/>
          <w:sz w:val="24"/>
          <w:u w:val="single"/>
        </w:rPr>
        <w:t>　　　　　　　　　　</w:t>
      </w:r>
    </w:p>
    <w:p w14:paraId="40E1EEBF">
      <w:pPr>
        <w:spacing w:line="500" w:lineRule="exact"/>
        <w:ind w:firstLine="480" w:firstLineChars="200"/>
        <w:rPr>
          <w:rFonts w:ascii="宋体" w:hAnsi="宋体"/>
          <w:sz w:val="24"/>
        </w:rPr>
      </w:pPr>
      <w:r>
        <w:rPr>
          <w:rFonts w:hint="eastAsia" w:ascii="宋体" w:hAnsi="宋体"/>
          <w:sz w:val="24"/>
        </w:rPr>
        <w:t>报价单位代表手机：</w:t>
      </w:r>
      <w:r>
        <w:rPr>
          <w:rFonts w:hint="eastAsia" w:ascii="宋体" w:hAnsi="宋体"/>
          <w:sz w:val="24"/>
          <w:u w:val="single"/>
        </w:rPr>
        <w:t>　　　　　　　　　　</w:t>
      </w:r>
    </w:p>
    <w:p w14:paraId="68FDA9FE">
      <w:pPr>
        <w:spacing w:line="500" w:lineRule="exact"/>
        <w:ind w:firstLine="480" w:firstLineChars="200"/>
        <w:rPr>
          <w:rFonts w:ascii="宋体" w:hAnsi="宋体"/>
          <w:sz w:val="24"/>
        </w:rPr>
      </w:pPr>
      <w:r>
        <w:rPr>
          <w:rFonts w:hint="eastAsia" w:ascii="宋体" w:hAnsi="宋体"/>
          <w:sz w:val="24"/>
        </w:rPr>
        <w:t>报价单位名称：</w:t>
      </w:r>
      <w:r>
        <w:rPr>
          <w:rFonts w:hint="eastAsia" w:ascii="宋体" w:hAnsi="宋体"/>
          <w:sz w:val="24"/>
          <w:u w:val="single"/>
        </w:rPr>
        <w:t>　　　　　　　　　　</w:t>
      </w:r>
      <w:r>
        <w:rPr>
          <w:rFonts w:hint="eastAsia" w:ascii="宋体" w:hAnsi="宋体"/>
          <w:sz w:val="24"/>
        </w:rPr>
        <w:t>（加盖单位公章）</w:t>
      </w:r>
    </w:p>
    <w:p w14:paraId="510AD9EF">
      <w:pPr>
        <w:spacing w:line="500" w:lineRule="exact"/>
        <w:ind w:firstLine="480" w:firstLineChars="200"/>
        <w:rPr>
          <w:rFonts w:ascii="宋体" w:hAnsi="宋体"/>
          <w:sz w:val="24"/>
        </w:rPr>
      </w:pPr>
    </w:p>
    <w:p w14:paraId="77B6C076">
      <w:pPr>
        <w:spacing w:line="500" w:lineRule="exact"/>
        <w:ind w:firstLine="4560" w:firstLineChars="1900"/>
        <w:rPr>
          <w:rFonts w:ascii="宋体" w:hAnsi="宋体"/>
          <w:szCs w:val="21"/>
        </w:rPr>
      </w:pPr>
      <w:r>
        <w:rPr>
          <w:rFonts w:hint="eastAsia" w:ascii="宋体" w:hAnsi="宋体"/>
          <w:sz w:val="24"/>
        </w:rPr>
        <w:t xml:space="preserve">  年     月      日　</w:t>
      </w:r>
      <w:r>
        <w:rPr>
          <w:rFonts w:hint="eastAsia" w:ascii="宋体" w:hAnsi="宋体"/>
          <w:szCs w:val="21"/>
        </w:rPr>
        <w:t>　</w:t>
      </w:r>
    </w:p>
    <w:p w14:paraId="67526CFC">
      <w:pPr>
        <w:rPr>
          <w:szCs w:val="21"/>
        </w:rPr>
        <w:sectPr>
          <w:footerReference r:id="rId3" w:type="default"/>
          <w:pgSz w:w="11906" w:h="16838"/>
          <w:pgMar w:top="1440" w:right="1366" w:bottom="1440" w:left="1300" w:header="851" w:footer="992" w:gutter="0"/>
          <w:cols w:space="720" w:num="1"/>
          <w:docGrid w:type="lines" w:linePitch="312" w:charSpace="0"/>
        </w:sectPr>
      </w:pPr>
      <w:r>
        <w:rPr>
          <w:rFonts w:hint="eastAsia"/>
          <w:szCs w:val="21"/>
        </w:rPr>
        <w:br w:type="page"/>
      </w:r>
    </w:p>
    <w:p w14:paraId="5294EC50">
      <w:pPr>
        <w:jc w:val="left"/>
        <w:rPr>
          <w:rFonts w:ascii="仿宋" w:hAnsi="仿宋" w:eastAsia="仿宋" w:cs="仿宋"/>
          <w:bCs/>
          <w:sz w:val="32"/>
          <w:szCs w:val="32"/>
        </w:rPr>
      </w:pPr>
      <w:r>
        <w:rPr>
          <w:rFonts w:hint="eastAsia" w:ascii="仿宋" w:hAnsi="仿宋" w:eastAsia="仿宋" w:cs="仿宋"/>
          <w:bCs/>
          <w:sz w:val="32"/>
          <w:szCs w:val="32"/>
        </w:rPr>
        <w:t>附件二：</w:t>
      </w:r>
    </w:p>
    <w:p w14:paraId="2D97DE4B">
      <w:pPr>
        <w:spacing w:line="560" w:lineRule="exact"/>
        <w:jc w:val="center"/>
        <w:rPr>
          <w:rFonts w:ascii="仿宋" w:hAnsi="仿宋" w:eastAsia="仿宋" w:cs="仿宋"/>
          <w:b/>
          <w:bCs/>
          <w:sz w:val="30"/>
          <w:szCs w:val="30"/>
        </w:rPr>
      </w:pPr>
      <w:r>
        <w:rPr>
          <w:rFonts w:hint="eastAsia" w:ascii="仿宋" w:hAnsi="仿宋" w:eastAsia="仿宋" w:cs="仿宋"/>
          <w:b/>
          <w:bCs/>
          <w:sz w:val="30"/>
          <w:szCs w:val="30"/>
        </w:rPr>
        <w:t>法定代表人身份证明</w:t>
      </w:r>
    </w:p>
    <w:p w14:paraId="17988E9E">
      <w:pPr>
        <w:pStyle w:val="10"/>
      </w:pPr>
    </w:p>
    <w:p w14:paraId="590E57AB">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先生/女士，身份证号码：，</w:t>
      </w:r>
    </w:p>
    <w:p w14:paraId="28A5FC9D">
      <w:pPr>
        <w:spacing w:line="480" w:lineRule="exact"/>
        <w:rPr>
          <w:rFonts w:ascii="仿宋" w:hAnsi="仿宋" w:eastAsia="仿宋" w:cs="仿宋"/>
          <w:sz w:val="28"/>
          <w:szCs w:val="28"/>
        </w:rPr>
      </w:pPr>
      <w:r>
        <w:rPr>
          <w:rFonts w:hint="eastAsia" w:ascii="仿宋" w:hAnsi="仿宋" w:eastAsia="仿宋" w:cs="仿宋"/>
          <w:sz w:val="28"/>
          <w:szCs w:val="28"/>
        </w:rPr>
        <w:t>现任我单位职务，为法定代表人，特此证明。</w:t>
      </w:r>
    </w:p>
    <w:p w14:paraId="4164CF3D">
      <w:pPr>
        <w:spacing w:line="480" w:lineRule="exact"/>
        <w:ind w:firstLine="480"/>
        <w:rPr>
          <w:rFonts w:ascii="仿宋" w:hAnsi="仿宋" w:eastAsia="仿宋" w:cs="仿宋"/>
          <w:sz w:val="28"/>
          <w:szCs w:val="28"/>
        </w:rPr>
      </w:pPr>
    </w:p>
    <w:p w14:paraId="02EEF19A">
      <w:pPr>
        <w:spacing w:after="120"/>
        <w:rPr>
          <w:rFonts w:ascii="仿宋" w:hAnsi="仿宋" w:eastAsia="仿宋" w:cs="仿宋"/>
          <w:sz w:val="28"/>
          <w:szCs w:val="28"/>
        </w:rPr>
      </w:pPr>
    </w:p>
    <w:p w14:paraId="7980532F">
      <w:pPr>
        <w:adjustRightInd w:val="0"/>
        <w:spacing w:line="480" w:lineRule="auto"/>
        <w:ind w:left="3255" w:leftChars="1550" w:firstLine="280" w:firstLineChars="100"/>
        <w:rPr>
          <w:rFonts w:ascii="仿宋" w:hAnsi="仿宋" w:eastAsia="仿宋" w:cs="仿宋"/>
          <w:sz w:val="28"/>
          <w:szCs w:val="28"/>
        </w:rPr>
      </w:pPr>
      <w:r>
        <w:rPr>
          <w:rFonts w:hint="eastAsia" w:ascii="仿宋" w:hAnsi="仿宋" w:eastAsia="仿宋" w:cs="仿宋"/>
          <w:sz w:val="28"/>
          <w:szCs w:val="28"/>
        </w:rPr>
        <w:t>单位名称(盖公章)：</w:t>
      </w:r>
    </w:p>
    <w:p w14:paraId="603319F8">
      <w:pPr>
        <w:adjustRightInd w:val="0"/>
        <w:spacing w:line="480" w:lineRule="auto"/>
        <w:ind w:firstLine="4480" w:firstLineChars="1600"/>
        <w:rPr>
          <w:rFonts w:ascii="仿宋" w:hAnsi="仿宋" w:eastAsia="仿宋" w:cs="仿宋"/>
          <w:sz w:val="28"/>
          <w:szCs w:val="28"/>
        </w:rPr>
      </w:pPr>
      <w:r>
        <w:rPr>
          <w:rFonts w:hint="eastAsia" w:ascii="仿宋" w:hAnsi="仿宋" w:eastAsia="仿宋" w:cs="仿宋"/>
          <w:sz w:val="28"/>
          <w:szCs w:val="28"/>
        </w:rPr>
        <w:t>日 期：     年   月   日</w:t>
      </w:r>
    </w:p>
    <w:p w14:paraId="0C15C8AA">
      <w:pPr>
        <w:rPr>
          <w:rFonts w:ascii="仿宋" w:hAnsi="仿宋" w:eastAsia="仿宋" w:cs="仿宋"/>
        </w:rPr>
      </w:pPr>
    </w:p>
    <w:p w14:paraId="34AB3D57">
      <w:pPr>
        <w:pStyle w:val="10"/>
        <w:rPr>
          <w:rFonts w:ascii="仿宋" w:hAnsi="仿宋" w:eastAsia="仿宋" w:cs="仿宋"/>
        </w:rPr>
      </w:pPr>
    </w:p>
    <w:p w14:paraId="7CADF2C5">
      <w:pPr>
        <w:rPr>
          <w:rFonts w:ascii="仿宋" w:hAnsi="仿宋" w:eastAsia="仿宋" w:cs="仿宋"/>
        </w:rPr>
      </w:pPr>
    </w:p>
    <w:p w14:paraId="4159CC09">
      <w:pPr>
        <w:pStyle w:val="10"/>
        <w:rPr>
          <w:rFonts w:ascii="仿宋" w:hAnsi="仿宋" w:eastAsia="仿宋" w:cs="仿宋"/>
        </w:rPr>
      </w:pPr>
    </w:p>
    <w:p w14:paraId="5B8D83D2">
      <w:pPr>
        <w:rPr>
          <w:rFonts w:ascii="仿宋" w:hAnsi="仿宋" w:eastAsia="仿宋" w:cs="仿宋"/>
        </w:rPr>
      </w:pPr>
    </w:p>
    <w:p w14:paraId="2E0539D0">
      <w:pPr>
        <w:pStyle w:val="10"/>
        <w:rPr>
          <w:rFonts w:ascii="仿宋" w:hAnsi="仿宋" w:eastAsia="仿宋" w:cs="仿宋"/>
        </w:rPr>
      </w:pPr>
    </w:p>
    <w:p w14:paraId="7688A139">
      <w:pPr>
        <w:rPr>
          <w:rFonts w:ascii="仿宋" w:hAnsi="仿宋" w:eastAsia="仿宋" w:cs="仿宋"/>
        </w:rPr>
      </w:pPr>
    </w:p>
    <w:p w14:paraId="46AF4B24">
      <w:pPr>
        <w:pStyle w:val="10"/>
        <w:rPr>
          <w:rFonts w:ascii="仿宋" w:hAnsi="仿宋" w:eastAsia="仿宋" w:cs="仿宋"/>
        </w:rPr>
      </w:pPr>
    </w:p>
    <w:p w14:paraId="22A74524">
      <w:pPr>
        <w:rPr>
          <w:rFonts w:ascii="仿宋" w:hAnsi="仿宋" w:eastAsia="仿宋" w:cs="仿宋"/>
        </w:rPr>
      </w:pPr>
    </w:p>
    <w:p w14:paraId="09A7A088">
      <w:pPr>
        <w:pStyle w:val="10"/>
        <w:rPr>
          <w:rFonts w:ascii="仿宋" w:hAnsi="仿宋" w:eastAsia="仿宋" w:cs="仿宋"/>
        </w:rPr>
      </w:pPr>
    </w:p>
    <w:p w14:paraId="68A6A2F5">
      <w:pPr>
        <w:rPr>
          <w:rFonts w:ascii="仿宋" w:hAnsi="仿宋" w:eastAsia="仿宋" w:cs="仿宋"/>
        </w:rPr>
      </w:pPr>
    </w:p>
    <w:p w14:paraId="2D00BC13">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EB2672D">
      <w:pPr>
        <w:pStyle w:val="10"/>
        <w:rPr>
          <w:rFonts w:ascii="仿宋" w:hAnsi="仿宋" w:eastAsia="仿宋" w:cs="仿宋"/>
        </w:rPr>
      </w:pPr>
    </w:p>
    <w:p w14:paraId="01E2D47E">
      <w:pPr>
        <w:rPr>
          <w:rFonts w:ascii="仿宋" w:hAnsi="仿宋" w:eastAsia="仿宋" w:cs="仿宋"/>
        </w:rPr>
      </w:pPr>
    </w:p>
    <w:p w14:paraId="49498DB4">
      <w:pPr>
        <w:pStyle w:val="10"/>
        <w:rPr>
          <w:rFonts w:ascii="仿宋" w:hAnsi="仿宋" w:eastAsia="仿宋" w:cs="仿宋"/>
        </w:rPr>
      </w:pPr>
    </w:p>
    <w:p w14:paraId="515EED05">
      <w:pPr>
        <w:rPr>
          <w:rFonts w:ascii="仿宋" w:hAnsi="仿宋" w:eastAsia="仿宋" w:cs="仿宋"/>
        </w:rPr>
      </w:pPr>
    </w:p>
    <w:p w14:paraId="578F33EC">
      <w:pPr>
        <w:pStyle w:val="10"/>
        <w:rPr>
          <w:rFonts w:ascii="仿宋" w:hAnsi="仿宋" w:eastAsia="仿宋" w:cs="仿宋"/>
        </w:rPr>
      </w:pPr>
    </w:p>
    <w:p w14:paraId="5E2FE9C4">
      <w:pPr>
        <w:rPr>
          <w:rFonts w:ascii="仿宋" w:hAnsi="仿宋" w:eastAsia="仿宋" w:cs="仿宋"/>
        </w:rPr>
      </w:pPr>
    </w:p>
    <w:p w14:paraId="3B1D3894">
      <w:pPr>
        <w:rPr>
          <w:rFonts w:ascii="仿宋" w:hAnsi="仿宋" w:eastAsia="仿宋" w:cs="仿宋"/>
        </w:rPr>
      </w:pPr>
    </w:p>
    <w:p w14:paraId="60B1CD95">
      <w:pPr>
        <w:pStyle w:val="10"/>
      </w:pPr>
    </w:p>
    <w:p w14:paraId="46D31AE0">
      <w:pPr>
        <w:widowControl/>
        <w:spacing w:line="360" w:lineRule="auto"/>
        <w:rPr>
          <w:rFonts w:ascii="仿宋" w:hAnsi="仿宋" w:eastAsia="仿宋" w:cs="仿宋"/>
          <w:b/>
          <w:bCs/>
          <w:kern w:val="0"/>
          <w:sz w:val="28"/>
          <w:szCs w:val="28"/>
        </w:rPr>
      </w:pPr>
      <w:r>
        <w:rPr>
          <w:rFonts w:hint="eastAsia" w:ascii="仿宋" w:hAnsi="仿宋" w:eastAsia="仿宋" w:cs="仿宋"/>
          <w:b/>
          <w:sz w:val="24"/>
        </w:rPr>
        <w:t>附：法定代表人的身份证正反面复印件盖单位公章</w:t>
      </w:r>
    </w:p>
    <w:p w14:paraId="0B8AF510">
      <w:pPr>
        <w:widowControl/>
        <w:spacing w:line="460" w:lineRule="exact"/>
        <w:jc w:val="left"/>
        <w:rPr>
          <w:rFonts w:ascii="FangSong_GB2312" w:hAnsi="FangSong_GB2312" w:eastAsia="FangSong_GB2312" w:cs="FangSong_GB2312"/>
          <w:b/>
          <w:color w:val="333333"/>
          <w:kern w:val="0"/>
          <w:sz w:val="28"/>
          <w:szCs w:val="28"/>
        </w:rPr>
      </w:pPr>
    </w:p>
    <w:p w14:paraId="1D420426">
      <w:pPr>
        <w:widowControl/>
        <w:spacing w:line="460" w:lineRule="exact"/>
        <w:jc w:val="left"/>
        <w:rPr>
          <w:rFonts w:ascii="仿宋" w:hAnsi="仿宋" w:eastAsia="仿宋" w:cs="仿宋"/>
          <w:b/>
          <w:color w:val="333333"/>
          <w:sz w:val="28"/>
          <w:szCs w:val="28"/>
        </w:rPr>
      </w:pPr>
      <w:r>
        <w:rPr>
          <w:rFonts w:hint="eastAsia" w:ascii="FangSong_GB2312" w:hAnsi="FangSong_GB2312" w:eastAsia="FangSong_GB2312" w:cs="FangSong_GB2312"/>
          <w:b/>
          <w:color w:val="333333"/>
          <w:kern w:val="0"/>
          <w:sz w:val="28"/>
          <w:szCs w:val="28"/>
        </w:rPr>
        <w:t>附件三：法定代表人授权委托书</w:t>
      </w:r>
    </w:p>
    <w:p w14:paraId="19B9DC13">
      <w:pPr>
        <w:spacing w:line="500" w:lineRule="exact"/>
        <w:ind w:firstLine="643"/>
        <w:jc w:val="center"/>
        <w:rPr>
          <w:rFonts w:ascii="仿宋" w:hAnsi="仿宋" w:cs="仿宋"/>
          <w:b/>
          <w:bCs/>
          <w:color w:val="000000"/>
          <w:sz w:val="32"/>
          <w:szCs w:val="32"/>
        </w:rPr>
      </w:pPr>
      <w:r>
        <w:rPr>
          <w:rFonts w:hint="eastAsia" w:ascii="仿宋" w:hAnsi="仿宋" w:cs="仿宋"/>
          <w:b/>
          <w:bCs/>
          <w:color w:val="000000"/>
          <w:sz w:val="32"/>
          <w:szCs w:val="32"/>
        </w:rPr>
        <w:t>法定代表人授权委托书</w:t>
      </w:r>
    </w:p>
    <w:p w14:paraId="51957BAF">
      <w:pPr>
        <w:widowControl/>
        <w:spacing w:line="460" w:lineRule="exact"/>
        <w:rPr>
          <w:rFonts w:ascii="FangSong_GB2312" w:hAnsi="FangSong_GB2312" w:eastAsia="FangSong_GB2312" w:cs="FangSong_GB2312"/>
          <w:color w:val="333333"/>
          <w:kern w:val="0"/>
          <w:sz w:val="28"/>
          <w:szCs w:val="28"/>
        </w:rPr>
      </w:pPr>
    </w:p>
    <w:p w14:paraId="322D700D">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启东市城市水处理有限公司：</w:t>
      </w:r>
    </w:p>
    <w:p w14:paraId="74F03566">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u w:val="single"/>
        </w:rPr>
        <w:t xml:space="preserve">（单位名称） </w:t>
      </w:r>
      <w:r>
        <w:rPr>
          <w:rFonts w:hint="eastAsia" w:ascii="仿宋" w:hAnsi="仿宋" w:eastAsia="仿宋" w:cs="仿宋"/>
          <w:kern w:val="0"/>
          <w:sz w:val="28"/>
          <w:szCs w:val="28"/>
        </w:rPr>
        <w:t>系中华人民共和国合法企业（单位），法定地址：特授权代表我公司全权办理针对</w:t>
      </w:r>
      <w:bookmarkStart w:id="56" w:name="OLE_LINK41"/>
      <w:bookmarkStart w:id="57" w:name="OLE_LINK42"/>
      <w:r>
        <w:rPr>
          <w:rFonts w:hint="eastAsia" w:ascii="仿宋" w:hAnsi="仿宋" w:eastAsia="仿宋" w:cs="仿宋"/>
          <w:kern w:val="0"/>
          <w:sz w:val="28"/>
          <w:szCs w:val="28"/>
          <w:u w:val="single"/>
          <w:lang w:val="en-US" w:eastAsia="zh-CN"/>
        </w:rPr>
        <w:t>启东市城市水处理有限公司出水COD、TP、PH在线仪表采购</w:t>
      </w:r>
      <w:r>
        <w:rPr>
          <w:rFonts w:hint="eastAsia" w:ascii="仿宋" w:hAnsi="仿宋" w:eastAsia="仿宋" w:cs="仿宋"/>
          <w:kern w:val="0"/>
          <w:sz w:val="28"/>
          <w:szCs w:val="28"/>
          <w:u w:val="single"/>
        </w:rPr>
        <w:t>项目</w:t>
      </w:r>
      <w:bookmarkEnd w:id="56"/>
      <w:bookmarkEnd w:id="57"/>
      <w:r>
        <w:rPr>
          <w:rFonts w:hint="eastAsia" w:ascii="仿宋" w:hAnsi="仿宋" w:eastAsia="仿宋" w:cs="仿宋"/>
          <w:kern w:val="0"/>
          <w:sz w:val="28"/>
          <w:szCs w:val="28"/>
        </w:rPr>
        <w:t>的投标，并签署全部有关文件、协议及合同。</w:t>
      </w:r>
    </w:p>
    <w:p w14:paraId="262628F0">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我公司对被授权人签名的所有文件负全部责任。</w:t>
      </w:r>
    </w:p>
    <w:p w14:paraId="42C43EEA">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被授权人签署的所有文件（在授权书有效期内签署的）不因授权的撤销而失效，本授权书的有效期自招标开始至合同履行完毕止。</w:t>
      </w:r>
    </w:p>
    <w:p w14:paraId="6133EC75">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被授权人无权转委托。</w:t>
      </w:r>
    </w:p>
    <w:p w14:paraId="3A16EF26">
      <w:pPr>
        <w:adjustRightInd w:val="0"/>
        <w:snapToGrid w:val="0"/>
        <w:spacing w:line="500" w:lineRule="exact"/>
        <w:ind w:firstLine="560" w:firstLineChars="200"/>
        <w:rPr>
          <w:rFonts w:ascii="仿宋" w:hAnsi="仿宋" w:eastAsia="仿宋" w:cs="仿宋"/>
          <w:kern w:val="0"/>
          <w:sz w:val="28"/>
          <w:szCs w:val="28"/>
        </w:rPr>
      </w:pPr>
    </w:p>
    <w:p w14:paraId="29FD3569">
      <w:pPr>
        <w:adjustRightInd w:val="0"/>
        <w:snapToGrid w:val="0"/>
        <w:spacing w:line="500" w:lineRule="exact"/>
        <w:ind w:firstLine="560" w:firstLineChars="200"/>
        <w:rPr>
          <w:rFonts w:ascii="仿宋" w:hAnsi="仿宋" w:eastAsia="仿宋" w:cs="仿宋"/>
          <w:kern w:val="0"/>
          <w:sz w:val="28"/>
          <w:szCs w:val="28"/>
        </w:rPr>
      </w:pPr>
    </w:p>
    <w:p w14:paraId="509B0B0B">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被授权人（签字或盖章）：     性别：   年龄：   职务：     </w:t>
      </w:r>
    </w:p>
    <w:p w14:paraId="4E91DFA5">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身份证号码：　　　　　　　　　                             </w:t>
      </w:r>
    </w:p>
    <w:p w14:paraId="4C92350A">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通讯地址：  　　　　　　　　　                             </w:t>
      </w:r>
    </w:p>
    <w:p w14:paraId="2392A401">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联系电话： 　　　　　　　　　                              </w:t>
      </w:r>
    </w:p>
    <w:p w14:paraId="441A4295">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法定代表人（签字或盖章）：　　　　　　　　　       </w:t>
      </w:r>
    </w:p>
    <w:p w14:paraId="4E0BC2BD">
      <w:pPr>
        <w:adjustRightInd w:val="0"/>
        <w:snapToGrid w:val="0"/>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报价单位（盖章）：　　　　　　　　　                          </w:t>
      </w:r>
    </w:p>
    <w:p w14:paraId="46813112">
      <w:pPr>
        <w:widowControl/>
        <w:spacing w:line="460" w:lineRule="exact"/>
        <w:ind w:firstLine="480" w:firstLineChars="200"/>
        <w:rPr>
          <w:rFonts w:cs="FangSong_GB2312" w:asciiTheme="minorEastAsia" w:hAnsiTheme="minorEastAsia" w:eastAsiaTheme="minorEastAsia"/>
          <w:color w:val="333333"/>
          <w:kern w:val="0"/>
          <w:sz w:val="24"/>
        </w:rPr>
      </w:pPr>
    </w:p>
    <w:p w14:paraId="39A85BEF">
      <w:pPr>
        <w:rPr>
          <w:rFonts w:cs="FangSong_GB2312" w:asciiTheme="minorEastAsia" w:hAnsiTheme="minorEastAsia" w:eastAsiaTheme="minorEastAsia"/>
          <w:color w:val="333333"/>
          <w:kern w:val="0"/>
          <w:sz w:val="24"/>
        </w:rPr>
      </w:pPr>
      <w:r>
        <w:rPr>
          <w:rFonts w:hint="eastAsia" w:cs="FangSong_GB2312" w:asciiTheme="minorEastAsia" w:hAnsiTheme="minorEastAsia" w:eastAsiaTheme="minorEastAsia"/>
          <w:color w:val="333333"/>
          <w:kern w:val="0"/>
          <w:sz w:val="24"/>
        </w:rPr>
        <w:t xml:space="preserve">                                    年     月    日</w:t>
      </w:r>
    </w:p>
    <w:p w14:paraId="6944E32A">
      <w:pPr>
        <w:pStyle w:val="10"/>
        <w:rPr>
          <w:rFonts w:ascii="FangSong_GB2312" w:hAnsi="FangSong_GB2312" w:eastAsia="FangSong_GB2312" w:cs="FangSong_GB2312"/>
          <w:color w:val="333333"/>
          <w:sz w:val="28"/>
          <w:szCs w:val="28"/>
        </w:rPr>
      </w:pPr>
    </w:p>
    <w:p w14:paraId="7D925356">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43C370C8">
      <w:pPr>
        <w:pStyle w:val="10"/>
        <w:rPr>
          <w:rFonts w:ascii="FangSong_GB2312" w:hAnsi="FangSong_GB2312" w:eastAsia="FangSong_GB2312" w:cs="FangSong_GB2312"/>
          <w:color w:val="333333"/>
          <w:sz w:val="28"/>
          <w:szCs w:val="28"/>
        </w:rPr>
      </w:pPr>
    </w:p>
    <w:p w14:paraId="7EA4E5BA">
      <w:pPr>
        <w:adjustRightInd w:val="0"/>
        <w:snapToGrid w:val="0"/>
        <w:spacing w:line="500" w:lineRule="exact"/>
        <w:ind w:firstLine="560" w:firstLineChars="200"/>
        <w:rPr>
          <w:rFonts w:ascii="仿宋" w:hAnsi="仿宋" w:eastAsia="仿宋" w:cs="仿宋"/>
          <w:kern w:val="0"/>
          <w:sz w:val="28"/>
          <w:szCs w:val="28"/>
        </w:rPr>
        <w:sectPr>
          <w:pgSz w:w="11906" w:h="16838"/>
          <w:pgMar w:top="1440" w:right="1366" w:bottom="1440" w:left="1300" w:header="851" w:footer="992" w:gutter="0"/>
          <w:cols w:space="720" w:num="1"/>
          <w:docGrid w:type="lines" w:linePitch="312" w:charSpace="0"/>
        </w:sectPr>
      </w:pPr>
      <w:r>
        <w:rPr>
          <w:rFonts w:hint="eastAsia" w:ascii="仿宋" w:hAnsi="仿宋" w:eastAsia="仿宋" w:cs="仿宋"/>
          <w:kern w:val="0"/>
          <w:sz w:val="28"/>
          <w:szCs w:val="28"/>
        </w:rPr>
        <w:t>被授权人身份证正反面复印件盖单位公章</w:t>
      </w:r>
    </w:p>
    <w:p w14:paraId="4FBB0F80">
      <w:pPr>
        <w:rPr>
          <w:szCs w:val="22"/>
        </w:rPr>
      </w:pPr>
      <w:r>
        <w:rPr>
          <w:rFonts w:hint="eastAsia" w:ascii="宋体" w:hAnsi="宋体"/>
          <w:b/>
          <w:sz w:val="28"/>
          <w:szCs w:val="22"/>
        </w:rPr>
        <w:t>附件四：</w:t>
      </w:r>
    </w:p>
    <w:p w14:paraId="568CBE3E">
      <w:pPr>
        <w:spacing w:line="500" w:lineRule="exact"/>
        <w:rPr>
          <w:rFonts w:ascii="宋体" w:hAnsi="宋体"/>
          <w:b/>
          <w:sz w:val="32"/>
          <w:szCs w:val="32"/>
        </w:rPr>
      </w:pPr>
      <w:r>
        <w:rPr>
          <w:rFonts w:hint="eastAsia" w:ascii="宋体" w:hAnsi="宋体"/>
          <w:b/>
          <w:sz w:val="32"/>
          <w:szCs w:val="32"/>
        </w:rPr>
        <w:t xml:space="preserve">                     质 保 承 诺 书</w:t>
      </w:r>
    </w:p>
    <w:p w14:paraId="2FDC071B">
      <w:pPr>
        <w:adjustRightInd w:val="0"/>
        <w:snapToGrid w:val="0"/>
        <w:spacing w:line="500" w:lineRule="exact"/>
        <w:rPr>
          <w:rFonts w:ascii="仿宋" w:hAnsi="仿宋" w:eastAsia="仿宋" w:cs="仿宋"/>
          <w:kern w:val="0"/>
          <w:sz w:val="28"/>
          <w:szCs w:val="28"/>
        </w:rPr>
      </w:pPr>
      <w:r>
        <w:rPr>
          <w:rFonts w:hint="eastAsia" w:ascii="仿宋" w:hAnsi="仿宋" w:eastAsia="仿宋" w:cs="仿宋"/>
          <w:kern w:val="0"/>
          <w:sz w:val="28"/>
          <w:szCs w:val="28"/>
        </w:rPr>
        <w:t>启东市城市水处理有限公司：</w:t>
      </w:r>
    </w:p>
    <w:p w14:paraId="617CEED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（报价单位全称）</w:t>
      </w:r>
      <w:r>
        <w:rPr>
          <w:rFonts w:hint="eastAsia" w:ascii="仿宋" w:hAnsi="仿宋" w:eastAsia="仿宋" w:cs="仿宋"/>
          <w:sz w:val="28"/>
          <w:szCs w:val="28"/>
        </w:rPr>
        <w:t>授权</w:t>
      </w:r>
      <w:r>
        <w:rPr>
          <w:rFonts w:hint="eastAsia" w:ascii="仿宋" w:hAnsi="仿宋" w:eastAsia="仿宋" w:cs="仿宋"/>
          <w:sz w:val="28"/>
          <w:szCs w:val="28"/>
          <w:u w:val="single"/>
        </w:rPr>
        <w:t>（姓  名）（职  务）</w:t>
      </w:r>
      <w:r>
        <w:rPr>
          <w:rFonts w:hint="eastAsia" w:ascii="仿宋" w:hAnsi="仿宋" w:eastAsia="仿宋" w:cs="仿宋"/>
          <w:sz w:val="28"/>
          <w:szCs w:val="28"/>
        </w:rPr>
        <w:t>为全权代表，参加</w:t>
      </w:r>
      <w:r>
        <w:rPr>
          <w:rFonts w:hint="eastAsia" w:ascii="仿宋" w:hAnsi="仿宋" w:eastAsia="仿宋" w:cs="仿宋"/>
          <w:b/>
          <w:sz w:val="28"/>
          <w:szCs w:val="28"/>
          <w:u w:val="single"/>
          <w:lang w:val="en-US" w:eastAsia="zh-CN"/>
        </w:rPr>
        <w:t>启东市城市水处理有限公司出水COD、TP、PH在线仪表采购</w:t>
      </w:r>
      <w:r>
        <w:rPr>
          <w:rFonts w:hint="eastAsia" w:ascii="仿宋" w:hAnsi="仿宋" w:eastAsia="仿宋" w:cs="仿宋"/>
          <w:b/>
          <w:sz w:val="28"/>
          <w:szCs w:val="28"/>
          <w:u w:val="single"/>
        </w:rPr>
        <w:t>项目</w:t>
      </w:r>
      <w:r>
        <w:rPr>
          <w:rFonts w:hint="eastAsia" w:ascii="仿宋" w:hAnsi="仿宋" w:eastAsia="仿宋" w:cs="仿宋"/>
          <w:sz w:val="28"/>
          <w:szCs w:val="28"/>
        </w:rPr>
        <w:t>询价的有关活动，并宣布同意如下：</w:t>
      </w:r>
    </w:p>
    <w:p w14:paraId="370E024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质量要求：我方提供符合采购需求、从未使用过的全新设备，产品质量符合招标文件要求、行业及国家标准（供货时提供相关证明材料、有效产品合格证），经试运行满足使用要求并最终验收合格。我方自行踏勘现场，确保所供设备满足现场使用需要，因未认真复核导致设备无法满足按采购方要求的，采购方有权要求更换相应设备。</w:t>
      </w:r>
    </w:p>
    <w:p w14:paraId="0756066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2、质保要求：所有货物提供</w:t>
      </w:r>
      <w:r>
        <w:rPr>
          <w:rFonts w:hint="eastAsia" w:ascii="仿宋" w:hAnsi="仿宋" w:eastAsia="仿宋" w:cs="仿宋"/>
          <w:sz w:val="28"/>
          <w:szCs w:val="28"/>
          <w:lang w:eastAsia="zh-CN"/>
        </w:rPr>
        <w:t>三</w:t>
      </w:r>
      <w:r>
        <w:rPr>
          <w:rFonts w:hint="eastAsia" w:ascii="仿宋" w:hAnsi="仿宋" w:eastAsia="仿宋" w:cs="仿宋"/>
          <w:sz w:val="28"/>
          <w:szCs w:val="28"/>
        </w:rPr>
        <w:t>年全免费质保（配件+人工）及售后服务。质保期内免费维修，质保期外的维修收费按国家和供应商的相关规定办理。所有设备质保时间为自验收合格之日起计。</w:t>
      </w:r>
    </w:p>
    <w:p w14:paraId="61957D1C">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3、售后服务要求：</w:t>
      </w:r>
      <w:bookmarkStart w:id="58" w:name="OLE_LINK19"/>
      <w:bookmarkStart w:id="59" w:name="OLE_LINK20"/>
      <w:r>
        <w:rPr>
          <w:rFonts w:hint="eastAsia" w:ascii="仿宋" w:hAnsi="仿宋" w:eastAsia="仿宋" w:cs="仿宋"/>
          <w:sz w:val="28"/>
          <w:szCs w:val="28"/>
        </w:rPr>
        <w:t>在质保期内，同一商品、同一质量问题连续两次维修仍无法正常使用，我方无条件给予全套更新。在免费质保期内，我方在接到用户单位电话通知后，8小时之内上门服务并负责修复。如需更换货物或送修，在12小时内提供备用货物，并在5个工作日内负责维修完毕并送至用户单位处。因我方超时或未在规定的时间内及时处理故障，每次罚1000元。</w:t>
      </w:r>
      <w:bookmarkEnd w:id="58"/>
      <w:bookmarkEnd w:id="59"/>
    </w:p>
    <w:p w14:paraId="442BB33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4、在交货时我方将提供产品的合格证和产品说明书。</w:t>
      </w:r>
    </w:p>
    <w:p w14:paraId="68E0999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5、与本项目有关的一切往来通讯请寄：</w:t>
      </w:r>
    </w:p>
    <w:p w14:paraId="081719C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6B4C0A12">
      <w:pPr>
        <w:spacing w:line="440" w:lineRule="exact"/>
        <w:rPr>
          <w:rFonts w:ascii="仿宋" w:hAnsi="仿宋" w:eastAsia="仿宋" w:cs="仿宋"/>
          <w:sz w:val="28"/>
          <w:szCs w:val="28"/>
        </w:rPr>
      </w:pPr>
      <w:r>
        <w:rPr>
          <w:rFonts w:hint="eastAsia" w:ascii="仿宋" w:hAnsi="仿宋" w:eastAsia="仿宋" w:cs="仿宋"/>
          <w:sz w:val="28"/>
          <w:szCs w:val="28"/>
        </w:rPr>
        <w:t xml:space="preserve">    电话：</w:t>
      </w:r>
      <w:r>
        <w:rPr>
          <w:rFonts w:hint="eastAsia" w:ascii="仿宋" w:hAnsi="仿宋" w:eastAsia="仿宋" w:cs="仿宋"/>
          <w:sz w:val="28"/>
          <w:szCs w:val="28"/>
          <w:u w:val="single"/>
        </w:rPr>
        <w:t>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3E59C6DE">
      <w:pPr>
        <w:spacing w:line="440" w:lineRule="exact"/>
        <w:rPr>
          <w:rFonts w:ascii="仿宋" w:hAnsi="仿宋" w:eastAsia="仿宋" w:cs="仿宋"/>
          <w:sz w:val="28"/>
          <w:szCs w:val="28"/>
        </w:rPr>
      </w:pPr>
      <w:r>
        <w:rPr>
          <w:rFonts w:hint="eastAsia" w:ascii="仿宋" w:hAnsi="仿宋" w:eastAsia="仿宋" w:cs="仿宋"/>
          <w:sz w:val="28"/>
          <w:szCs w:val="28"/>
        </w:rPr>
        <w:t xml:space="preserve">    报价单位代表：</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14:paraId="12875BC4">
      <w:pPr>
        <w:spacing w:line="440" w:lineRule="exact"/>
        <w:ind w:firstLine="560" w:firstLineChars="200"/>
        <w:rPr>
          <w:rFonts w:ascii="仿宋" w:hAnsi="仿宋" w:eastAsia="仿宋" w:cs="仿宋"/>
          <w:sz w:val="28"/>
          <w:szCs w:val="28"/>
        </w:rPr>
      </w:pPr>
    </w:p>
    <w:p w14:paraId="523B9531">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报价单位名称（加盖单位公章）：</w:t>
      </w:r>
      <w:r>
        <w:rPr>
          <w:rFonts w:hint="eastAsia" w:ascii="仿宋" w:hAnsi="仿宋" w:eastAsia="仿宋" w:cs="仿宋"/>
          <w:sz w:val="28"/>
          <w:szCs w:val="28"/>
          <w:u w:val="single"/>
        </w:rPr>
        <w:t>　　　　　　　　　　</w:t>
      </w:r>
    </w:p>
    <w:p w14:paraId="2F394184">
      <w:pPr>
        <w:spacing w:line="440" w:lineRule="exact"/>
        <w:ind w:firstLine="560" w:firstLineChars="200"/>
        <w:rPr>
          <w:rFonts w:ascii="仿宋" w:hAnsi="仿宋" w:eastAsia="仿宋" w:cs="仿宋"/>
          <w:sz w:val="24"/>
        </w:rPr>
      </w:pPr>
      <w:r>
        <w:rPr>
          <w:rFonts w:hint="eastAsia" w:ascii="仿宋" w:hAnsi="仿宋" w:eastAsia="仿宋" w:cs="仿宋"/>
          <w:sz w:val="28"/>
          <w:szCs w:val="28"/>
        </w:rPr>
        <w:t>日期：     年  月  日</w:t>
      </w:r>
      <w:r>
        <w:rPr>
          <w:rFonts w:hint="eastAsia" w:ascii="仿宋" w:hAnsi="仿宋" w:eastAsia="仿宋" w:cs="仿宋"/>
          <w:sz w:val="24"/>
        </w:rPr>
        <w:t>　</w:t>
      </w:r>
    </w:p>
    <w:p w14:paraId="5B81ED35">
      <w:pPr>
        <w:spacing w:line="440" w:lineRule="exact"/>
        <w:ind w:right="74"/>
        <w:rPr>
          <w:rFonts w:ascii="宋体" w:hAnsi="宋体" w:cs="宋体"/>
          <w:sz w:val="28"/>
          <w:szCs w:val="28"/>
        </w:rPr>
      </w:pPr>
      <w:r>
        <w:rPr>
          <w:rFonts w:hint="eastAsia"/>
          <w:kern w:val="0"/>
          <w:sz w:val="24"/>
          <w:szCs w:val="21"/>
        </w:rPr>
        <w:br w:type="page"/>
      </w:r>
    </w:p>
    <w:p w14:paraId="2E2E6A83">
      <w:pPr>
        <w:spacing w:line="460" w:lineRule="exact"/>
        <w:rPr>
          <w:rFonts w:ascii="宋体" w:hAnsi="宋体" w:cs="宋体"/>
          <w:b/>
          <w:color w:val="333333"/>
          <w:sz w:val="28"/>
          <w:szCs w:val="28"/>
        </w:rPr>
      </w:pPr>
      <w:r>
        <w:rPr>
          <w:rFonts w:hint="eastAsia" w:ascii="宋体" w:hAnsi="宋体" w:cs="宋体"/>
          <w:b/>
          <w:color w:val="333333"/>
          <w:sz w:val="28"/>
          <w:szCs w:val="28"/>
        </w:rPr>
        <w:t>附件五：</w:t>
      </w:r>
    </w:p>
    <w:p w14:paraId="0C99239E">
      <w:pPr>
        <w:spacing w:line="460" w:lineRule="exact"/>
        <w:jc w:val="center"/>
        <w:rPr>
          <w:rFonts w:ascii="仿宋" w:hAnsi="仿宋" w:eastAsia="仿宋" w:cs="仿宋"/>
          <w:b/>
          <w:sz w:val="28"/>
          <w:szCs w:val="28"/>
        </w:rPr>
      </w:pPr>
      <w:r>
        <w:rPr>
          <w:rFonts w:hint="eastAsia" w:ascii="仿宋" w:hAnsi="仿宋" w:eastAsia="仿宋" w:cs="仿宋"/>
          <w:b/>
          <w:sz w:val="28"/>
          <w:szCs w:val="28"/>
        </w:rPr>
        <w:t>参加政府采购活动前 3 年内在经营活动中没有重大违法记录和失信记录的书面声明</w:t>
      </w:r>
    </w:p>
    <w:p w14:paraId="7153350F">
      <w:pPr>
        <w:pStyle w:val="41"/>
        <w:spacing w:line="460" w:lineRule="exact"/>
        <w:jc w:val="left"/>
        <w:rPr>
          <w:rFonts w:hAnsi="宋体" w:cs="FangSong_GB2312"/>
          <w:bCs/>
        </w:rPr>
      </w:pPr>
    </w:p>
    <w:p w14:paraId="3612AA48">
      <w:pPr>
        <w:spacing w:line="460" w:lineRule="exact"/>
        <w:ind w:firstLine="480"/>
        <w:rPr>
          <w:rFonts w:ascii="仿宋" w:hAnsi="仿宋" w:eastAsia="仿宋" w:cs="仿宋"/>
          <w:bCs/>
          <w:sz w:val="28"/>
          <w:szCs w:val="28"/>
        </w:rPr>
      </w:pPr>
      <w:r>
        <w:rPr>
          <w:rFonts w:hint="eastAsia" w:ascii="仿宋" w:hAnsi="仿宋" w:eastAsia="仿宋" w:cs="仿宋"/>
          <w:bCs/>
          <w:sz w:val="28"/>
          <w:szCs w:val="28"/>
        </w:rPr>
        <w:t>我公司郑重声明：参加本次政府采购活动前 3 年内，我公司在经营活动中没有因违法经营受到刑事处罚或者责令停产停业、吊销许可证或者执照、较大数额罚款等行政处罚。</w:t>
      </w:r>
    </w:p>
    <w:p w14:paraId="7548D416">
      <w:pPr>
        <w:spacing w:line="460" w:lineRule="exact"/>
        <w:ind w:firstLine="480"/>
        <w:rPr>
          <w:rFonts w:ascii="仿宋" w:hAnsi="仿宋" w:eastAsia="仿宋" w:cs="仿宋"/>
          <w:sz w:val="28"/>
          <w:szCs w:val="28"/>
        </w:rPr>
      </w:pPr>
      <w:r>
        <w:rPr>
          <w:rFonts w:hint="eastAsia" w:ascii="仿宋" w:hAnsi="仿宋" w:eastAsia="仿宋" w:cs="仿宋"/>
          <w:bCs/>
          <w:sz w:val="28"/>
          <w:szCs w:val="28"/>
        </w:rPr>
        <w:t>在</w:t>
      </w:r>
      <w:r>
        <w:rPr>
          <w:rFonts w:hint="eastAsia" w:ascii="仿宋" w:hAnsi="仿宋" w:eastAsia="仿宋" w:cs="仿宋"/>
          <w:sz w:val="28"/>
          <w:szCs w:val="28"/>
        </w:rPr>
        <w:t>投标截止时间节点，没有被“信用中国”（www.creditchina.gov.cn）、“中国政府采购网”（www.ccgp.gov.cn）、“信用江苏”（www.jscredit.cn/index.htm）网站列入失信被执行人、重大税收违法案件当事人名单、政府采购严重违法失信行为记录名单。</w:t>
      </w:r>
    </w:p>
    <w:p w14:paraId="3860B77E">
      <w:pPr>
        <w:pStyle w:val="10"/>
        <w:spacing w:line="460" w:lineRule="exact"/>
        <w:ind w:firstLine="480"/>
        <w:rPr>
          <w:rFonts w:ascii="仿宋" w:hAnsi="仿宋" w:eastAsia="仿宋" w:cs="仿宋"/>
          <w:sz w:val="28"/>
          <w:szCs w:val="28"/>
        </w:rPr>
      </w:pPr>
    </w:p>
    <w:p w14:paraId="6917089F">
      <w:pPr>
        <w:pStyle w:val="10"/>
        <w:spacing w:line="460" w:lineRule="exact"/>
        <w:ind w:firstLine="480"/>
        <w:rPr>
          <w:rFonts w:ascii="仿宋" w:hAnsi="仿宋" w:eastAsia="仿宋" w:cs="仿宋"/>
          <w:sz w:val="28"/>
          <w:szCs w:val="28"/>
        </w:rPr>
      </w:pPr>
    </w:p>
    <w:p w14:paraId="07D8C09D">
      <w:pPr>
        <w:pStyle w:val="10"/>
        <w:spacing w:line="460" w:lineRule="exact"/>
        <w:ind w:firstLine="480"/>
        <w:rPr>
          <w:rFonts w:ascii="仿宋" w:hAnsi="仿宋" w:eastAsia="仿宋" w:cs="仿宋"/>
          <w:sz w:val="28"/>
          <w:szCs w:val="28"/>
        </w:rPr>
      </w:pPr>
    </w:p>
    <w:p w14:paraId="64C8D4FD">
      <w:pPr>
        <w:spacing w:line="440" w:lineRule="exact"/>
        <w:ind w:firstLine="560"/>
        <w:rPr>
          <w:rFonts w:ascii="仿宋" w:hAnsi="仿宋" w:eastAsia="仿宋" w:cs="仿宋"/>
          <w:bCs/>
          <w:sz w:val="28"/>
          <w:szCs w:val="28"/>
          <w:u w:val="single"/>
        </w:rPr>
      </w:pPr>
      <w:r>
        <w:rPr>
          <w:rFonts w:hint="eastAsia" w:ascii="仿宋" w:hAnsi="仿宋" w:eastAsia="仿宋" w:cs="仿宋"/>
          <w:bCs/>
          <w:sz w:val="28"/>
          <w:szCs w:val="28"/>
        </w:rPr>
        <w:t xml:space="preserve">                           投标单位（公章）：</w:t>
      </w:r>
    </w:p>
    <w:p w14:paraId="0D7EA6E7">
      <w:pPr>
        <w:spacing w:line="440" w:lineRule="exact"/>
        <w:ind w:firstLine="560"/>
        <w:rPr>
          <w:rFonts w:ascii="仿宋" w:hAnsi="仿宋" w:eastAsia="仿宋" w:cs="仿宋"/>
          <w:bCs/>
          <w:sz w:val="28"/>
          <w:szCs w:val="28"/>
        </w:rPr>
      </w:pPr>
      <w:r>
        <w:rPr>
          <w:rFonts w:hint="eastAsia" w:ascii="仿宋" w:hAnsi="仿宋" w:eastAsia="仿宋" w:cs="仿宋"/>
          <w:bCs/>
          <w:sz w:val="28"/>
          <w:szCs w:val="28"/>
        </w:rPr>
        <w:t xml:space="preserve">                           授权代表签字：</w:t>
      </w:r>
    </w:p>
    <w:p w14:paraId="4F9A9BBF">
      <w:pPr>
        <w:pStyle w:val="16"/>
        <w:widowControl/>
        <w:spacing w:line="440" w:lineRule="exact"/>
        <w:jc w:val="both"/>
        <w:rPr>
          <w:rFonts w:ascii="仿宋" w:hAnsi="仿宋" w:eastAsia="仿宋" w:cs="仿宋"/>
          <w:b/>
          <w:color w:val="333333"/>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Cs/>
          <w:sz w:val="28"/>
          <w:szCs w:val="28"/>
        </w:rPr>
        <w:t xml:space="preserve">                               日期：______年月日</w:t>
      </w:r>
    </w:p>
    <w:p w14:paraId="68B32DE2">
      <w:pPr>
        <w:pStyle w:val="16"/>
        <w:widowControl/>
        <w:spacing w:before="466" w:after="450" w:line="400" w:lineRule="exact"/>
        <w:jc w:val="both"/>
        <w:rPr>
          <w:rFonts w:ascii="仿宋" w:hAnsi="仿宋" w:eastAsia="仿宋" w:cs="仿宋"/>
          <w:color w:val="333333"/>
          <w:sz w:val="28"/>
          <w:szCs w:val="28"/>
        </w:rPr>
      </w:pPr>
      <w:bookmarkStart w:id="60" w:name="OLE_LINK34"/>
      <w:bookmarkStart w:id="61" w:name="OLE_LINK35"/>
      <w:r>
        <w:rPr>
          <w:rFonts w:hint="eastAsia" w:ascii="仿宋" w:hAnsi="仿宋" w:eastAsia="仿宋" w:cs="仿宋"/>
          <w:b/>
          <w:color w:val="333333"/>
          <w:sz w:val="28"/>
          <w:szCs w:val="28"/>
        </w:rPr>
        <w:t>附件六：报价表</w:t>
      </w:r>
      <w:bookmarkEnd w:id="60"/>
      <w:bookmarkEnd w:id="61"/>
    </w:p>
    <w:p w14:paraId="35A69E4C">
      <w:pPr>
        <w:widowControl/>
        <w:spacing w:afterLines="100" w:line="440" w:lineRule="exact"/>
        <w:jc w:val="center"/>
        <w:rPr>
          <w:rFonts w:ascii="仿宋" w:hAnsi="仿宋" w:eastAsia="仿宋" w:cs="仿宋"/>
          <w:b/>
          <w:kern w:val="0"/>
          <w:sz w:val="44"/>
          <w:szCs w:val="44"/>
        </w:rPr>
      </w:pPr>
      <w:r>
        <w:rPr>
          <w:rFonts w:hint="eastAsia" w:ascii="仿宋" w:hAnsi="仿宋" w:eastAsia="仿宋" w:cs="仿宋"/>
          <w:b/>
          <w:kern w:val="0"/>
          <w:sz w:val="44"/>
          <w:szCs w:val="44"/>
        </w:rPr>
        <w:t>报 价 表</w:t>
      </w:r>
    </w:p>
    <w:p w14:paraId="7B1B7596">
      <w:pPr>
        <w:pStyle w:val="10"/>
        <w:spacing w:line="400" w:lineRule="exact"/>
        <w:ind w:right="63" w:firstLine="422" w:firstLineChars="150"/>
        <w:rPr>
          <w:rFonts w:ascii="仿宋" w:hAnsi="仿宋" w:eastAsia="仿宋" w:cs="仿宋"/>
          <w:sz w:val="32"/>
          <w:szCs w:val="32"/>
        </w:rPr>
      </w:pPr>
      <w:r>
        <w:rPr>
          <w:rFonts w:hint="eastAsia" w:ascii="仿宋" w:hAnsi="仿宋" w:eastAsia="仿宋" w:cs="仿宋"/>
          <w:b/>
          <w:sz w:val="28"/>
          <w:szCs w:val="28"/>
          <w:lang w:val="en-US" w:eastAsia="zh-CN"/>
        </w:rPr>
        <w:t>启东市城市水处理有限公司出水COD、TP、PH在线仪表采购</w:t>
      </w:r>
      <w:r>
        <w:rPr>
          <w:rFonts w:hint="eastAsia" w:ascii="仿宋" w:hAnsi="仿宋" w:eastAsia="仿宋" w:cs="仿宋"/>
          <w:b/>
          <w:sz w:val="28"/>
          <w:szCs w:val="28"/>
        </w:rPr>
        <w:t>项目</w:t>
      </w:r>
    </w:p>
    <w:tbl>
      <w:tblPr>
        <w:tblStyle w:val="19"/>
        <w:tblW w:w="0" w:type="auto"/>
        <w:jc w:val="center"/>
        <w:tblLayout w:type="fixed"/>
        <w:tblCellMar>
          <w:top w:w="0" w:type="dxa"/>
          <w:left w:w="108" w:type="dxa"/>
          <w:bottom w:w="0" w:type="dxa"/>
          <w:right w:w="108" w:type="dxa"/>
        </w:tblCellMar>
      </w:tblPr>
      <w:tblGrid>
        <w:gridCol w:w="453"/>
        <w:gridCol w:w="1515"/>
        <w:gridCol w:w="495"/>
        <w:gridCol w:w="690"/>
        <w:gridCol w:w="3120"/>
        <w:gridCol w:w="960"/>
        <w:gridCol w:w="720"/>
        <w:gridCol w:w="1245"/>
      </w:tblGrid>
      <w:tr w14:paraId="6E43D9B9">
        <w:tblPrEx>
          <w:tblCellMar>
            <w:top w:w="0" w:type="dxa"/>
            <w:left w:w="108" w:type="dxa"/>
            <w:bottom w:w="0" w:type="dxa"/>
            <w:right w:w="108" w:type="dxa"/>
          </w:tblCellMar>
        </w:tblPrEx>
        <w:trPr>
          <w:trHeight w:val="682"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7D419E57">
            <w:pPr>
              <w:widowControl/>
              <w:spacing w:line="260" w:lineRule="exact"/>
              <w:jc w:val="center"/>
              <w:textAlignment w:val="center"/>
              <w:rPr>
                <w:b/>
                <w:bCs/>
                <w:kern w:val="0"/>
                <w:sz w:val="20"/>
                <w:szCs w:val="22"/>
              </w:rPr>
            </w:pPr>
            <w:r>
              <w:rPr>
                <w:rFonts w:hint="eastAsia"/>
                <w:b/>
                <w:bCs/>
                <w:kern w:val="0"/>
                <w:sz w:val="20"/>
                <w:szCs w:val="22"/>
              </w:rPr>
              <w:t>序号</w:t>
            </w:r>
          </w:p>
        </w:tc>
        <w:tc>
          <w:tcPr>
            <w:tcW w:w="1515" w:type="dxa"/>
            <w:tcBorders>
              <w:top w:val="single" w:color="000000" w:sz="4" w:space="0"/>
              <w:left w:val="single" w:color="000000" w:sz="4" w:space="0"/>
              <w:bottom w:val="single" w:color="000000" w:sz="4" w:space="0"/>
              <w:right w:val="single" w:color="000000" w:sz="4" w:space="0"/>
            </w:tcBorders>
            <w:vAlign w:val="center"/>
          </w:tcPr>
          <w:p w14:paraId="13FF3F96">
            <w:pPr>
              <w:widowControl/>
              <w:spacing w:line="260" w:lineRule="exact"/>
              <w:jc w:val="center"/>
              <w:textAlignment w:val="center"/>
              <w:rPr>
                <w:b/>
                <w:bCs/>
                <w:kern w:val="0"/>
                <w:sz w:val="20"/>
                <w:szCs w:val="22"/>
              </w:rPr>
            </w:pPr>
            <w:r>
              <w:rPr>
                <w:rFonts w:hint="eastAsia"/>
                <w:b/>
                <w:bCs/>
                <w:kern w:val="0"/>
                <w:sz w:val="20"/>
                <w:szCs w:val="22"/>
              </w:rPr>
              <w:t>产品名称</w:t>
            </w:r>
          </w:p>
        </w:tc>
        <w:tc>
          <w:tcPr>
            <w:tcW w:w="495" w:type="dxa"/>
            <w:tcBorders>
              <w:top w:val="single" w:color="000000" w:sz="4" w:space="0"/>
              <w:left w:val="single" w:color="000000" w:sz="4" w:space="0"/>
              <w:bottom w:val="single" w:color="000000" w:sz="4" w:space="0"/>
              <w:right w:val="single" w:color="000000" w:sz="4" w:space="0"/>
            </w:tcBorders>
            <w:vAlign w:val="center"/>
          </w:tcPr>
          <w:p w14:paraId="7C934BC5">
            <w:pPr>
              <w:widowControl/>
              <w:spacing w:line="260" w:lineRule="exact"/>
              <w:jc w:val="center"/>
              <w:textAlignment w:val="center"/>
              <w:rPr>
                <w:b/>
                <w:bCs/>
                <w:kern w:val="0"/>
                <w:sz w:val="20"/>
                <w:szCs w:val="22"/>
              </w:rPr>
            </w:pPr>
            <w:r>
              <w:rPr>
                <w:rFonts w:hint="eastAsia"/>
                <w:b/>
                <w:bCs/>
                <w:kern w:val="0"/>
                <w:sz w:val="20"/>
                <w:szCs w:val="22"/>
              </w:rPr>
              <w:t>数量</w:t>
            </w:r>
          </w:p>
        </w:tc>
        <w:tc>
          <w:tcPr>
            <w:tcW w:w="690" w:type="dxa"/>
            <w:tcBorders>
              <w:top w:val="single" w:color="000000" w:sz="4" w:space="0"/>
              <w:left w:val="single" w:color="000000" w:sz="4" w:space="0"/>
              <w:bottom w:val="single" w:color="000000" w:sz="4" w:space="0"/>
              <w:right w:val="single" w:color="000000" w:sz="4" w:space="0"/>
            </w:tcBorders>
            <w:vAlign w:val="center"/>
          </w:tcPr>
          <w:p w14:paraId="1787CF10">
            <w:pPr>
              <w:widowControl/>
              <w:spacing w:line="260" w:lineRule="exact"/>
              <w:jc w:val="center"/>
              <w:textAlignment w:val="center"/>
              <w:rPr>
                <w:b/>
                <w:bCs/>
                <w:kern w:val="0"/>
                <w:sz w:val="20"/>
                <w:szCs w:val="22"/>
              </w:rPr>
            </w:pPr>
            <w:r>
              <w:rPr>
                <w:rFonts w:hint="eastAsia"/>
                <w:b/>
                <w:bCs/>
                <w:kern w:val="0"/>
                <w:sz w:val="20"/>
                <w:szCs w:val="22"/>
              </w:rPr>
              <w:t>单位</w:t>
            </w:r>
          </w:p>
        </w:tc>
        <w:tc>
          <w:tcPr>
            <w:tcW w:w="3120" w:type="dxa"/>
            <w:tcBorders>
              <w:top w:val="single" w:color="000000" w:sz="4" w:space="0"/>
              <w:left w:val="single" w:color="000000" w:sz="4" w:space="0"/>
              <w:bottom w:val="single" w:color="000000" w:sz="4" w:space="0"/>
              <w:right w:val="single" w:color="000000" w:sz="4" w:space="0"/>
            </w:tcBorders>
            <w:vAlign w:val="center"/>
          </w:tcPr>
          <w:p w14:paraId="0C9306D9">
            <w:pPr>
              <w:widowControl/>
              <w:spacing w:line="260" w:lineRule="exact"/>
              <w:jc w:val="center"/>
              <w:textAlignment w:val="center"/>
              <w:rPr>
                <w:b/>
                <w:bCs/>
                <w:kern w:val="0"/>
                <w:sz w:val="20"/>
                <w:szCs w:val="22"/>
              </w:rPr>
            </w:pPr>
            <w:r>
              <w:rPr>
                <w:rFonts w:hint="eastAsia"/>
                <w:b/>
                <w:bCs/>
                <w:kern w:val="0"/>
                <w:sz w:val="20"/>
                <w:szCs w:val="22"/>
              </w:rPr>
              <w:t>参数</w:t>
            </w:r>
          </w:p>
        </w:tc>
        <w:tc>
          <w:tcPr>
            <w:tcW w:w="960" w:type="dxa"/>
            <w:tcBorders>
              <w:top w:val="single" w:color="000000" w:sz="4" w:space="0"/>
              <w:left w:val="single" w:color="000000" w:sz="4" w:space="0"/>
              <w:bottom w:val="single" w:color="000000" w:sz="4" w:space="0"/>
              <w:right w:val="single" w:color="auto" w:sz="4" w:space="0"/>
            </w:tcBorders>
            <w:vAlign w:val="center"/>
          </w:tcPr>
          <w:p w14:paraId="6F528D3A">
            <w:pPr>
              <w:widowControl/>
              <w:spacing w:line="260" w:lineRule="exact"/>
              <w:jc w:val="center"/>
              <w:textAlignment w:val="center"/>
              <w:rPr>
                <w:b/>
                <w:bCs/>
                <w:kern w:val="0"/>
                <w:sz w:val="20"/>
                <w:szCs w:val="22"/>
              </w:rPr>
            </w:pPr>
            <w:r>
              <w:rPr>
                <w:rFonts w:hint="eastAsia"/>
                <w:b/>
                <w:bCs/>
                <w:kern w:val="0"/>
                <w:sz w:val="20"/>
                <w:szCs w:val="22"/>
              </w:rPr>
              <w:t>单价（元/套）</w:t>
            </w:r>
          </w:p>
        </w:tc>
        <w:tc>
          <w:tcPr>
            <w:tcW w:w="720" w:type="dxa"/>
            <w:tcBorders>
              <w:top w:val="single" w:color="000000" w:sz="4" w:space="0"/>
              <w:left w:val="single" w:color="auto" w:sz="4" w:space="0"/>
              <w:bottom w:val="single" w:color="000000" w:sz="4" w:space="0"/>
              <w:right w:val="single" w:color="auto" w:sz="4" w:space="0"/>
            </w:tcBorders>
            <w:vAlign w:val="center"/>
          </w:tcPr>
          <w:p w14:paraId="6B2FFB33">
            <w:pPr>
              <w:spacing w:line="260" w:lineRule="exact"/>
              <w:jc w:val="center"/>
              <w:textAlignment w:val="center"/>
              <w:rPr>
                <w:b/>
                <w:bCs/>
                <w:kern w:val="0"/>
                <w:sz w:val="20"/>
                <w:szCs w:val="22"/>
              </w:rPr>
            </w:pPr>
            <w:r>
              <w:rPr>
                <w:rFonts w:hint="eastAsia"/>
                <w:b/>
                <w:bCs/>
                <w:kern w:val="0"/>
                <w:sz w:val="20"/>
                <w:szCs w:val="22"/>
              </w:rPr>
              <w:t>合价（元）</w:t>
            </w:r>
          </w:p>
        </w:tc>
        <w:tc>
          <w:tcPr>
            <w:tcW w:w="1245" w:type="dxa"/>
            <w:tcBorders>
              <w:top w:val="single" w:color="000000" w:sz="4" w:space="0"/>
              <w:left w:val="single" w:color="auto" w:sz="4" w:space="0"/>
              <w:bottom w:val="single" w:color="000000" w:sz="4" w:space="0"/>
              <w:right w:val="single" w:color="000000" w:sz="4" w:space="0"/>
            </w:tcBorders>
            <w:vAlign w:val="center"/>
          </w:tcPr>
          <w:p w14:paraId="6A52944A">
            <w:pPr>
              <w:spacing w:line="260" w:lineRule="exact"/>
              <w:jc w:val="center"/>
              <w:textAlignment w:val="center"/>
              <w:rPr>
                <w:b/>
                <w:bCs/>
                <w:kern w:val="0"/>
                <w:sz w:val="20"/>
                <w:szCs w:val="22"/>
              </w:rPr>
            </w:pPr>
            <w:r>
              <w:rPr>
                <w:rFonts w:hint="eastAsia"/>
                <w:b/>
                <w:bCs/>
                <w:kern w:val="0"/>
                <w:sz w:val="20"/>
                <w:szCs w:val="22"/>
              </w:rPr>
              <w:t>备注</w:t>
            </w:r>
          </w:p>
        </w:tc>
      </w:tr>
      <w:tr w14:paraId="1017516B">
        <w:tblPrEx>
          <w:tblCellMar>
            <w:top w:w="0" w:type="dxa"/>
            <w:left w:w="108" w:type="dxa"/>
            <w:bottom w:w="0" w:type="dxa"/>
            <w:right w:w="108" w:type="dxa"/>
          </w:tblCellMar>
        </w:tblPrEx>
        <w:trPr>
          <w:trHeight w:val="1063"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3D80E590">
            <w:pPr>
              <w:widowControl/>
              <w:spacing w:line="260" w:lineRule="exact"/>
              <w:jc w:val="center"/>
              <w:textAlignment w:val="center"/>
              <w:rPr>
                <w:kern w:val="0"/>
                <w:sz w:val="20"/>
                <w:szCs w:val="22"/>
              </w:rPr>
            </w:pPr>
            <w:r>
              <w:rPr>
                <w:kern w:val="0"/>
                <w:sz w:val="20"/>
                <w:szCs w:val="22"/>
              </w:rPr>
              <w:t>1</w:t>
            </w:r>
          </w:p>
        </w:tc>
        <w:tc>
          <w:tcPr>
            <w:tcW w:w="1515" w:type="dxa"/>
            <w:tcBorders>
              <w:top w:val="single" w:color="000000" w:sz="4" w:space="0"/>
              <w:left w:val="single" w:color="000000" w:sz="4" w:space="0"/>
              <w:bottom w:val="single" w:color="000000" w:sz="4" w:space="0"/>
              <w:right w:val="single" w:color="000000" w:sz="4" w:space="0"/>
            </w:tcBorders>
            <w:vAlign w:val="center"/>
          </w:tcPr>
          <w:p w14:paraId="431DE2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szCs w:val="22"/>
              </w:rPr>
            </w:pPr>
            <w:r>
              <w:rPr>
                <w:rFonts w:hint="eastAsia" w:ascii="宋体" w:hAnsi="宋体" w:cs="宋体"/>
                <w:b w:val="0"/>
                <w:bCs w:val="0"/>
                <w:sz w:val="21"/>
                <w:szCs w:val="21"/>
                <w:vertAlign w:val="baseline"/>
                <w:lang w:val="en-US" w:eastAsia="zh-CN"/>
              </w:rPr>
              <w:t>TP在线分析仪</w:t>
            </w:r>
          </w:p>
        </w:tc>
        <w:tc>
          <w:tcPr>
            <w:tcW w:w="495" w:type="dxa"/>
            <w:tcBorders>
              <w:top w:val="single" w:color="000000" w:sz="4" w:space="0"/>
              <w:left w:val="single" w:color="000000" w:sz="4" w:space="0"/>
              <w:bottom w:val="single" w:color="000000" w:sz="4" w:space="0"/>
              <w:right w:val="single" w:color="000000" w:sz="4" w:space="0"/>
            </w:tcBorders>
            <w:vAlign w:val="center"/>
          </w:tcPr>
          <w:p w14:paraId="6A89FC00">
            <w:pPr>
              <w:widowControl/>
              <w:spacing w:line="260" w:lineRule="exact"/>
              <w:jc w:val="center"/>
              <w:textAlignment w:val="center"/>
              <w:rPr>
                <w:rFonts w:hint="eastAsia" w:eastAsia="宋体"/>
                <w:kern w:val="0"/>
                <w:sz w:val="20"/>
                <w:szCs w:val="22"/>
                <w:lang w:eastAsia="zh-CN"/>
              </w:rPr>
            </w:pPr>
            <w:r>
              <w:rPr>
                <w:rFonts w:hint="eastAsia"/>
                <w:kern w:val="0"/>
                <w:sz w:val="20"/>
                <w:szCs w:val="22"/>
                <w:lang w:val="en-US" w:eastAsia="zh-CN"/>
              </w:rPr>
              <w:t>1</w:t>
            </w:r>
          </w:p>
        </w:tc>
        <w:tc>
          <w:tcPr>
            <w:tcW w:w="690" w:type="dxa"/>
            <w:tcBorders>
              <w:top w:val="single" w:color="000000" w:sz="4" w:space="0"/>
              <w:left w:val="single" w:color="000000" w:sz="4" w:space="0"/>
              <w:bottom w:val="single" w:color="000000" w:sz="4" w:space="0"/>
              <w:right w:val="single" w:color="000000" w:sz="4" w:space="0"/>
            </w:tcBorders>
            <w:vAlign w:val="center"/>
          </w:tcPr>
          <w:p w14:paraId="6BA36AD6">
            <w:pPr>
              <w:widowControl/>
              <w:spacing w:line="260" w:lineRule="exact"/>
              <w:jc w:val="center"/>
              <w:textAlignment w:val="center"/>
              <w:rPr>
                <w:kern w:val="0"/>
                <w:sz w:val="20"/>
                <w:szCs w:val="22"/>
              </w:rPr>
            </w:pPr>
            <w:r>
              <w:rPr>
                <w:rFonts w:hint="eastAsia"/>
                <w:kern w:val="0"/>
                <w:sz w:val="20"/>
                <w:szCs w:val="22"/>
              </w:rPr>
              <w:t>套</w:t>
            </w:r>
          </w:p>
        </w:tc>
        <w:tc>
          <w:tcPr>
            <w:tcW w:w="3120" w:type="dxa"/>
            <w:tcBorders>
              <w:top w:val="single" w:color="000000" w:sz="4" w:space="0"/>
              <w:left w:val="single" w:color="000000" w:sz="4" w:space="0"/>
              <w:bottom w:val="single" w:color="000000" w:sz="4" w:space="0"/>
              <w:right w:val="single" w:color="000000" w:sz="4" w:space="0"/>
            </w:tcBorders>
            <w:vAlign w:val="center"/>
          </w:tcPr>
          <w:p w14:paraId="6F7EB9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量程：0.01-5（可扩展）</w:t>
            </w:r>
          </w:p>
          <w:p w14:paraId="103FF1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准确度：±2mg/L</w:t>
            </w:r>
          </w:p>
          <w:p w14:paraId="4827E9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单次消解时间：约10分钟（测量时间27分钟）</w:t>
            </w:r>
          </w:p>
          <w:p w14:paraId="7FD92D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kern w:val="0"/>
                <w:sz w:val="20"/>
                <w:szCs w:val="22"/>
              </w:rPr>
            </w:pPr>
            <w:r>
              <w:rPr>
                <w:rFonts w:hint="eastAsia" w:ascii="宋体" w:hAnsi="宋体" w:cs="宋体"/>
                <w:b w:val="0"/>
                <w:bCs w:val="0"/>
                <w:color w:val="auto"/>
                <w:sz w:val="21"/>
                <w:szCs w:val="21"/>
                <w:vertAlign w:val="baseline"/>
                <w:lang w:val="en-US" w:eastAsia="zh-CN"/>
              </w:rPr>
              <w:t>其余详见附件</w:t>
            </w:r>
          </w:p>
        </w:tc>
        <w:tc>
          <w:tcPr>
            <w:tcW w:w="960" w:type="dxa"/>
            <w:tcBorders>
              <w:top w:val="single" w:color="000000" w:sz="4" w:space="0"/>
              <w:left w:val="single" w:color="000000" w:sz="4" w:space="0"/>
              <w:bottom w:val="single" w:color="000000" w:sz="4" w:space="0"/>
              <w:right w:val="single" w:color="auto" w:sz="4" w:space="0"/>
            </w:tcBorders>
            <w:vAlign w:val="center"/>
          </w:tcPr>
          <w:p w14:paraId="54C75404">
            <w:pPr>
              <w:widowControl/>
              <w:spacing w:line="260" w:lineRule="exact"/>
              <w:ind w:firstLine="400" w:firstLineChars="200"/>
              <w:jc w:val="center"/>
              <w:textAlignment w:val="center"/>
              <w:rPr>
                <w:sz w:val="20"/>
              </w:rPr>
            </w:pPr>
          </w:p>
        </w:tc>
        <w:tc>
          <w:tcPr>
            <w:tcW w:w="720" w:type="dxa"/>
            <w:tcBorders>
              <w:top w:val="single" w:color="000000" w:sz="4" w:space="0"/>
              <w:left w:val="single" w:color="auto" w:sz="4" w:space="0"/>
              <w:bottom w:val="single" w:color="000000" w:sz="4" w:space="0"/>
              <w:right w:val="single" w:color="auto" w:sz="4" w:space="0"/>
            </w:tcBorders>
            <w:vAlign w:val="center"/>
          </w:tcPr>
          <w:p w14:paraId="27C3B8E9">
            <w:pPr>
              <w:widowControl/>
              <w:spacing w:line="260" w:lineRule="exact"/>
              <w:ind w:firstLine="400" w:firstLineChars="200"/>
              <w:jc w:val="center"/>
              <w:textAlignment w:val="center"/>
              <w:rPr>
                <w:sz w:val="20"/>
              </w:rPr>
            </w:pPr>
          </w:p>
        </w:tc>
        <w:tc>
          <w:tcPr>
            <w:tcW w:w="1245" w:type="dxa"/>
            <w:tcBorders>
              <w:top w:val="single" w:color="000000" w:sz="4" w:space="0"/>
              <w:left w:val="single" w:color="auto" w:sz="4" w:space="0"/>
              <w:bottom w:val="single" w:color="000000" w:sz="4" w:space="0"/>
              <w:right w:val="single" w:color="000000" w:sz="4" w:space="0"/>
            </w:tcBorders>
            <w:vAlign w:val="center"/>
          </w:tcPr>
          <w:p w14:paraId="09318B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0"/>
              </w:rPr>
            </w:pPr>
            <w:r>
              <w:rPr>
                <w:rFonts w:hint="eastAsia" w:ascii="宋体" w:hAnsi="宋体" w:eastAsia="宋体" w:cs="宋体"/>
                <w:b w:val="0"/>
                <w:bCs w:val="0"/>
                <w:sz w:val="21"/>
                <w:szCs w:val="21"/>
                <w:vertAlign w:val="baseline"/>
                <w:lang w:val="en-US" w:eastAsia="zh-CN"/>
              </w:rPr>
              <w:t>含自主验收</w:t>
            </w:r>
          </w:p>
        </w:tc>
      </w:tr>
      <w:tr w14:paraId="0264FDB2">
        <w:tblPrEx>
          <w:tblCellMar>
            <w:top w:w="0" w:type="dxa"/>
            <w:left w:w="108" w:type="dxa"/>
            <w:bottom w:w="0" w:type="dxa"/>
            <w:right w:w="108" w:type="dxa"/>
          </w:tblCellMar>
        </w:tblPrEx>
        <w:trPr>
          <w:trHeight w:val="1309"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E37A60A">
            <w:pPr>
              <w:widowControl/>
              <w:spacing w:line="260" w:lineRule="exact"/>
              <w:jc w:val="center"/>
              <w:textAlignment w:val="center"/>
              <w:rPr>
                <w:kern w:val="0"/>
                <w:sz w:val="20"/>
                <w:szCs w:val="22"/>
              </w:rPr>
            </w:pPr>
            <w:r>
              <w:rPr>
                <w:kern w:val="0"/>
                <w:sz w:val="20"/>
                <w:szCs w:val="22"/>
              </w:rPr>
              <w:t>2</w:t>
            </w:r>
          </w:p>
        </w:tc>
        <w:tc>
          <w:tcPr>
            <w:tcW w:w="1515" w:type="dxa"/>
            <w:tcBorders>
              <w:top w:val="single" w:color="000000" w:sz="4" w:space="0"/>
              <w:left w:val="single" w:color="000000" w:sz="4" w:space="0"/>
              <w:bottom w:val="single" w:color="000000" w:sz="4" w:space="0"/>
              <w:right w:val="single" w:color="000000" w:sz="4" w:space="0"/>
            </w:tcBorders>
            <w:vAlign w:val="center"/>
          </w:tcPr>
          <w:p w14:paraId="196E83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szCs w:val="22"/>
              </w:rPr>
            </w:pPr>
            <w:r>
              <w:rPr>
                <w:rFonts w:hint="eastAsia" w:ascii="宋体" w:hAnsi="宋体" w:cs="宋体"/>
                <w:b w:val="0"/>
                <w:bCs w:val="0"/>
                <w:sz w:val="21"/>
                <w:szCs w:val="21"/>
                <w:vertAlign w:val="baseline"/>
                <w:lang w:val="en-US" w:eastAsia="zh-CN"/>
              </w:rPr>
              <w:t>COD在线分析仪</w:t>
            </w:r>
          </w:p>
        </w:tc>
        <w:tc>
          <w:tcPr>
            <w:tcW w:w="495" w:type="dxa"/>
            <w:tcBorders>
              <w:top w:val="single" w:color="000000" w:sz="4" w:space="0"/>
              <w:left w:val="single" w:color="000000" w:sz="4" w:space="0"/>
              <w:bottom w:val="single" w:color="000000" w:sz="4" w:space="0"/>
              <w:right w:val="single" w:color="000000" w:sz="4" w:space="0"/>
            </w:tcBorders>
            <w:vAlign w:val="center"/>
          </w:tcPr>
          <w:p w14:paraId="22BE151D">
            <w:pPr>
              <w:widowControl/>
              <w:spacing w:line="260" w:lineRule="exact"/>
              <w:jc w:val="center"/>
              <w:textAlignment w:val="center"/>
              <w:rPr>
                <w:rFonts w:hint="eastAsia" w:eastAsia="宋体"/>
                <w:kern w:val="0"/>
                <w:sz w:val="20"/>
                <w:szCs w:val="22"/>
                <w:lang w:eastAsia="zh-CN"/>
              </w:rPr>
            </w:pPr>
            <w:r>
              <w:rPr>
                <w:rFonts w:hint="eastAsia"/>
                <w:kern w:val="0"/>
                <w:sz w:val="20"/>
                <w:szCs w:val="22"/>
                <w:lang w:val="en-US" w:eastAsia="zh-CN"/>
              </w:rPr>
              <w:t>1</w:t>
            </w:r>
          </w:p>
        </w:tc>
        <w:tc>
          <w:tcPr>
            <w:tcW w:w="690" w:type="dxa"/>
            <w:tcBorders>
              <w:top w:val="single" w:color="000000" w:sz="4" w:space="0"/>
              <w:left w:val="single" w:color="000000" w:sz="4" w:space="0"/>
              <w:bottom w:val="single" w:color="000000" w:sz="4" w:space="0"/>
              <w:right w:val="single" w:color="000000" w:sz="4" w:space="0"/>
            </w:tcBorders>
            <w:vAlign w:val="center"/>
          </w:tcPr>
          <w:p w14:paraId="2D0F821B">
            <w:pPr>
              <w:widowControl/>
              <w:spacing w:line="260" w:lineRule="exact"/>
              <w:jc w:val="center"/>
              <w:textAlignment w:val="center"/>
              <w:rPr>
                <w:kern w:val="0"/>
                <w:sz w:val="20"/>
                <w:szCs w:val="22"/>
              </w:rPr>
            </w:pPr>
            <w:r>
              <w:rPr>
                <w:rFonts w:hint="eastAsia"/>
                <w:kern w:val="0"/>
                <w:sz w:val="20"/>
                <w:szCs w:val="22"/>
              </w:rPr>
              <w:t>套</w:t>
            </w:r>
          </w:p>
        </w:tc>
        <w:tc>
          <w:tcPr>
            <w:tcW w:w="3120" w:type="dxa"/>
            <w:tcBorders>
              <w:top w:val="single" w:color="000000" w:sz="4" w:space="0"/>
              <w:left w:val="single" w:color="000000" w:sz="4" w:space="0"/>
              <w:bottom w:val="single" w:color="000000" w:sz="4" w:space="0"/>
              <w:right w:val="single" w:color="000000" w:sz="4" w:space="0"/>
            </w:tcBorders>
            <w:vAlign w:val="center"/>
          </w:tcPr>
          <w:p w14:paraId="47DA17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量程：5-2000（可扩展）</w:t>
            </w:r>
          </w:p>
          <w:p w14:paraId="1EDF08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准确度： &lt; 50 mg/L时，≤±5 mg/L</w:t>
            </w:r>
          </w:p>
          <w:p w14:paraId="4B7F68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单次测量时间：小于45分钟</w:t>
            </w:r>
          </w:p>
          <w:p w14:paraId="709E2ED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kern w:val="0"/>
                <w:sz w:val="20"/>
                <w:szCs w:val="22"/>
              </w:rPr>
            </w:pPr>
            <w:r>
              <w:rPr>
                <w:rFonts w:hint="eastAsia" w:ascii="宋体" w:hAnsi="宋体" w:cs="宋体"/>
                <w:b w:val="0"/>
                <w:bCs w:val="0"/>
                <w:color w:val="auto"/>
                <w:sz w:val="21"/>
                <w:szCs w:val="21"/>
                <w:vertAlign w:val="baseline"/>
                <w:lang w:val="en-US" w:eastAsia="zh-CN"/>
              </w:rPr>
              <w:t>其余详见附件</w:t>
            </w:r>
          </w:p>
        </w:tc>
        <w:tc>
          <w:tcPr>
            <w:tcW w:w="960" w:type="dxa"/>
            <w:tcBorders>
              <w:top w:val="single" w:color="000000" w:sz="4" w:space="0"/>
              <w:left w:val="single" w:color="000000" w:sz="4" w:space="0"/>
              <w:bottom w:val="single" w:color="000000" w:sz="4" w:space="0"/>
              <w:right w:val="single" w:color="auto" w:sz="4" w:space="0"/>
            </w:tcBorders>
            <w:vAlign w:val="center"/>
          </w:tcPr>
          <w:p w14:paraId="548162C5">
            <w:pPr>
              <w:widowControl/>
              <w:spacing w:line="260" w:lineRule="exact"/>
              <w:ind w:firstLine="400" w:firstLineChars="200"/>
              <w:jc w:val="center"/>
              <w:textAlignment w:val="center"/>
              <w:rPr>
                <w:sz w:val="20"/>
              </w:rPr>
            </w:pPr>
          </w:p>
        </w:tc>
        <w:tc>
          <w:tcPr>
            <w:tcW w:w="720" w:type="dxa"/>
            <w:tcBorders>
              <w:top w:val="single" w:color="000000" w:sz="4" w:space="0"/>
              <w:left w:val="single" w:color="auto" w:sz="4" w:space="0"/>
              <w:bottom w:val="single" w:color="000000" w:sz="4" w:space="0"/>
              <w:right w:val="single" w:color="auto" w:sz="4" w:space="0"/>
            </w:tcBorders>
            <w:vAlign w:val="center"/>
          </w:tcPr>
          <w:p w14:paraId="006B8D90">
            <w:pPr>
              <w:widowControl/>
              <w:spacing w:line="260" w:lineRule="exact"/>
              <w:ind w:firstLine="400" w:firstLineChars="200"/>
              <w:jc w:val="center"/>
              <w:textAlignment w:val="center"/>
              <w:rPr>
                <w:sz w:val="20"/>
              </w:rPr>
            </w:pPr>
          </w:p>
        </w:tc>
        <w:tc>
          <w:tcPr>
            <w:tcW w:w="1245" w:type="dxa"/>
            <w:tcBorders>
              <w:top w:val="single" w:color="000000" w:sz="4" w:space="0"/>
              <w:left w:val="single" w:color="auto" w:sz="4" w:space="0"/>
              <w:bottom w:val="single" w:color="000000" w:sz="4" w:space="0"/>
              <w:right w:val="single" w:color="000000" w:sz="4" w:space="0"/>
            </w:tcBorders>
            <w:vAlign w:val="center"/>
          </w:tcPr>
          <w:p w14:paraId="0EAE94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0"/>
              </w:rPr>
            </w:pPr>
            <w:r>
              <w:rPr>
                <w:rFonts w:hint="eastAsia" w:ascii="宋体" w:hAnsi="宋体" w:cs="宋体"/>
                <w:b w:val="0"/>
                <w:bCs w:val="0"/>
                <w:color w:val="auto"/>
                <w:sz w:val="21"/>
                <w:szCs w:val="21"/>
                <w:vertAlign w:val="baseline"/>
                <w:lang w:val="en-US" w:eastAsia="zh-CN"/>
              </w:rPr>
              <w:t>含自主验收</w:t>
            </w:r>
          </w:p>
        </w:tc>
      </w:tr>
      <w:tr w14:paraId="0D4C01D9">
        <w:tblPrEx>
          <w:tblCellMar>
            <w:top w:w="0" w:type="dxa"/>
            <w:left w:w="108" w:type="dxa"/>
            <w:bottom w:w="0" w:type="dxa"/>
            <w:right w:w="108" w:type="dxa"/>
          </w:tblCellMar>
        </w:tblPrEx>
        <w:trPr>
          <w:trHeight w:val="1537"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3E42889">
            <w:pPr>
              <w:widowControl/>
              <w:spacing w:line="260" w:lineRule="exact"/>
              <w:jc w:val="center"/>
              <w:textAlignment w:val="center"/>
              <w:rPr>
                <w:kern w:val="0"/>
                <w:sz w:val="20"/>
                <w:szCs w:val="22"/>
              </w:rPr>
            </w:pPr>
            <w:r>
              <w:rPr>
                <w:kern w:val="0"/>
                <w:sz w:val="20"/>
                <w:szCs w:val="22"/>
              </w:rPr>
              <w:t>3</w:t>
            </w:r>
          </w:p>
        </w:tc>
        <w:tc>
          <w:tcPr>
            <w:tcW w:w="1515" w:type="dxa"/>
            <w:tcBorders>
              <w:top w:val="single" w:color="000000" w:sz="4" w:space="0"/>
              <w:left w:val="single" w:color="000000" w:sz="4" w:space="0"/>
              <w:bottom w:val="single" w:color="000000" w:sz="4" w:space="0"/>
              <w:right w:val="single" w:color="000000" w:sz="4" w:space="0"/>
            </w:tcBorders>
            <w:vAlign w:val="center"/>
          </w:tcPr>
          <w:p w14:paraId="217CC9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szCs w:val="22"/>
              </w:rPr>
            </w:pPr>
            <w:r>
              <w:rPr>
                <w:rFonts w:hint="eastAsia" w:ascii="宋体" w:hAnsi="宋体" w:eastAsia="宋体" w:cs="宋体"/>
                <w:b w:val="0"/>
                <w:bCs w:val="0"/>
                <w:sz w:val="21"/>
                <w:szCs w:val="21"/>
                <w:vertAlign w:val="baseline"/>
                <w:lang w:val="en-US" w:eastAsia="zh-CN"/>
              </w:rPr>
              <w:t>PH在线分析仪</w:t>
            </w:r>
          </w:p>
        </w:tc>
        <w:tc>
          <w:tcPr>
            <w:tcW w:w="495" w:type="dxa"/>
            <w:tcBorders>
              <w:top w:val="single" w:color="000000" w:sz="4" w:space="0"/>
              <w:left w:val="single" w:color="000000" w:sz="4" w:space="0"/>
              <w:bottom w:val="single" w:color="000000" w:sz="4" w:space="0"/>
              <w:right w:val="single" w:color="000000" w:sz="4" w:space="0"/>
            </w:tcBorders>
            <w:vAlign w:val="center"/>
          </w:tcPr>
          <w:p w14:paraId="3AE1F3E5">
            <w:pPr>
              <w:widowControl/>
              <w:spacing w:line="260" w:lineRule="exact"/>
              <w:jc w:val="center"/>
              <w:textAlignment w:val="center"/>
              <w:rPr>
                <w:rFonts w:hint="eastAsia" w:eastAsia="宋体"/>
                <w:kern w:val="0"/>
                <w:sz w:val="20"/>
                <w:szCs w:val="22"/>
                <w:lang w:eastAsia="zh-CN"/>
              </w:rPr>
            </w:pPr>
            <w:r>
              <w:rPr>
                <w:rFonts w:hint="eastAsia"/>
                <w:kern w:val="0"/>
                <w:sz w:val="20"/>
                <w:szCs w:val="22"/>
                <w:lang w:val="en-US" w:eastAsia="zh-CN"/>
              </w:rPr>
              <w:t>1</w:t>
            </w:r>
          </w:p>
        </w:tc>
        <w:tc>
          <w:tcPr>
            <w:tcW w:w="690" w:type="dxa"/>
            <w:tcBorders>
              <w:top w:val="single" w:color="000000" w:sz="4" w:space="0"/>
              <w:left w:val="single" w:color="000000" w:sz="4" w:space="0"/>
              <w:bottom w:val="single" w:color="000000" w:sz="4" w:space="0"/>
              <w:right w:val="single" w:color="000000" w:sz="4" w:space="0"/>
            </w:tcBorders>
            <w:vAlign w:val="center"/>
          </w:tcPr>
          <w:p w14:paraId="06471987">
            <w:pPr>
              <w:widowControl/>
              <w:spacing w:line="260" w:lineRule="exact"/>
              <w:jc w:val="center"/>
              <w:textAlignment w:val="center"/>
              <w:rPr>
                <w:kern w:val="0"/>
                <w:sz w:val="20"/>
                <w:szCs w:val="22"/>
              </w:rPr>
            </w:pPr>
            <w:r>
              <w:rPr>
                <w:rFonts w:hint="eastAsia"/>
                <w:kern w:val="0"/>
                <w:sz w:val="20"/>
                <w:szCs w:val="22"/>
              </w:rPr>
              <w:t>套</w:t>
            </w:r>
          </w:p>
        </w:tc>
        <w:tc>
          <w:tcPr>
            <w:tcW w:w="3120" w:type="dxa"/>
            <w:tcBorders>
              <w:top w:val="single" w:color="000000" w:sz="4" w:space="0"/>
              <w:left w:val="single" w:color="000000" w:sz="4" w:space="0"/>
              <w:bottom w:val="single" w:color="000000" w:sz="4" w:space="0"/>
              <w:right w:val="single" w:color="000000" w:sz="4" w:space="0"/>
            </w:tcBorders>
            <w:vAlign w:val="center"/>
          </w:tcPr>
          <w:p w14:paraId="29A506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量程：0-10</w:t>
            </w:r>
          </w:p>
          <w:p w14:paraId="7A5845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具备两点校准及实际水样校准功能</w:t>
            </w:r>
          </w:p>
          <w:p w14:paraId="028D05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kern w:val="0"/>
                <w:sz w:val="20"/>
                <w:szCs w:val="22"/>
              </w:rPr>
            </w:pPr>
            <w:r>
              <w:rPr>
                <w:rFonts w:hint="eastAsia" w:ascii="宋体" w:hAnsi="宋体" w:eastAsia="宋体" w:cs="宋体"/>
                <w:b w:val="0"/>
                <w:bCs w:val="0"/>
                <w:sz w:val="21"/>
                <w:szCs w:val="21"/>
                <w:vertAlign w:val="baseline"/>
                <w:lang w:val="en-US" w:eastAsia="zh-CN"/>
              </w:rPr>
              <w:t>探头长度5米与35米各1个</w:t>
            </w:r>
          </w:p>
        </w:tc>
        <w:tc>
          <w:tcPr>
            <w:tcW w:w="960" w:type="dxa"/>
            <w:tcBorders>
              <w:top w:val="single" w:color="000000" w:sz="4" w:space="0"/>
              <w:left w:val="single" w:color="000000" w:sz="4" w:space="0"/>
              <w:bottom w:val="single" w:color="000000" w:sz="4" w:space="0"/>
              <w:right w:val="single" w:color="auto" w:sz="4" w:space="0"/>
            </w:tcBorders>
            <w:vAlign w:val="center"/>
          </w:tcPr>
          <w:p w14:paraId="0C4528C6">
            <w:pPr>
              <w:widowControl/>
              <w:spacing w:line="260" w:lineRule="exact"/>
              <w:ind w:firstLine="400" w:firstLineChars="200"/>
              <w:jc w:val="center"/>
              <w:textAlignment w:val="center"/>
              <w:rPr>
                <w:kern w:val="0"/>
                <w:sz w:val="20"/>
              </w:rPr>
            </w:pPr>
          </w:p>
        </w:tc>
        <w:tc>
          <w:tcPr>
            <w:tcW w:w="720" w:type="dxa"/>
            <w:tcBorders>
              <w:top w:val="single" w:color="000000" w:sz="4" w:space="0"/>
              <w:left w:val="single" w:color="auto" w:sz="4" w:space="0"/>
              <w:bottom w:val="single" w:color="000000" w:sz="4" w:space="0"/>
              <w:right w:val="single" w:color="auto" w:sz="4" w:space="0"/>
            </w:tcBorders>
            <w:vAlign w:val="center"/>
          </w:tcPr>
          <w:p w14:paraId="6F5C4018">
            <w:pPr>
              <w:widowControl/>
              <w:spacing w:line="260" w:lineRule="exact"/>
              <w:ind w:firstLine="400" w:firstLineChars="200"/>
              <w:jc w:val="center"/>
              <w:textAlignment w:val="center"/>
              <w:rPr>
                <w:kern w:val="0"/>
                <w:sz w:val="20"/>
              </w:rPr>
            </w:pPr>
          </w:p>
        </w:tc>
        <w:tc>
          <w:tcPr>
            <w:tcW w:w="1245" w:type="dxa"/>
            <w:tcBorders>
              <w:top w:val="single" w:color="000000" w:sz="4" w:space="0"/>
              <w:left w:val="single" w:color="auto" w:sz="4" w:space="0"/>
              <w:bottom w:val="single" w:color="000000" w:sz="4" w:space="0"/>
              <w:right w:val="single" w:color="000000" w:sz="4" w:space="0"/>
            </w:tcBorders>
            <w:vAlign w:val="center"/>
          </w:tcPr>
          <w:p w14:paraId="2D8D02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rPr>
            </w:pPr>
            <w:r>
              <w:rPr>
                <w:rFonts w:hint="eastAsia" w:ascii="宋体" w:hAnsi="宋体" w:eastAsia="宋体" w:cs="宋体"/>
                <w:b w:val="0"/>
                <w:bCs w:val="0"/>
                <w:sz w:val="21"/>
                <w:szCs w:val="21"/>
                <w:vertAlign w:val="baseline"/>
                <w:lang w:val="en-US" w:eastAsia="zh-CN"/>
              </w:rPr>
              <w:t>含自主验收</w:t>
            </w:r>
          </w:p>
        </w:tc>
      </w:tr>
      <w:tr w14:paraId="5F1CA885">
        <w:tblPrEx>
          <w:tblCellMar>
            <w:top w:w="0" w:type="dxa"/>
            <w:left w:w="108" w:type="dxa"/>
            <w:bottom w:w="0" w:type="dxa"/>
            <w:right w:w="108" w:type="dxa"/>
          </w:tblCellMar>
        </w:tblPrEx>
        <w:trPr>
          <w:trHeight w:val="1408"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16DE9F6">
            <w:pPr>
              <w:widowControl/>
              <w:spacing w:line="260" w:lineRule="exact"/>
              <w:jc w:val="center"/>
              <w:textAlignment w:val="center"/>
              <w:rPr>
                <w:kern w:val="0"/>
                <w:sz w:val="20"/>
                <w:szCs w:val="22"/>
              </w:rPr>
            </w:pPr>
            <w:r>
              <w:rPr>
                <w:kern w:val="0"/>
                <w:sz w:val="20"/>
                <w:szCs w:val="22"/>
              </w:rPr>
              <w:t>4</w:t>
            </w:r>
          </w:p>
        </w:tc>
        <w:tc>
          <w:tcPr>
            <w:tcW w:w="1515" w:type="dxa"/>
            <w:tcBorders>
              <w:top w:val="single" w:color="000000" w:sz="4" w:space="0"/>
              <w:left w:val="single" w:color="000000" w:sz="4" w:space="0"/>
              <w:bottom w:val="single" w:color="000000" w:sz="4" w:space="0"/>
              <w:right w:val="single" w:color="000000" w:sz="4" w:space="0"/>
            </w:tcBorders>
            <w:vAlign w:val="center"/>
          </w:tcPr>
          <w:p w14:paraId="425205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szCs w:val="22"/>
              </w:rPr>
            </w:pPr>
            <w:r>
              <w:rPr>
                <w:rFonts w:hint="eastAsia" w:ascii="宋体" w:hAnsi="宋体" w:eastAsia="宋体" w:cs="宋体"/>
                <w:b w:val="0"/>
                <w:bCs w:val="0"/>
                <w:sz w:val="21"/>
                <w:szCs w:val="21"/>
                <w:vertAlign w:val="baseline"/>
                <w:lang w:val="en-US" w:eastAsia="zh-CN"/>
              </w:rPr>
              <w:t>PH探头</w:t>
            </w:r>
          </w:p>
        </w:tc>
        <w:tc>
          <w:tcPr>
            <w:tcW w:w="495" w:type="dxa"/>
            <w:tcBorders>
              <w:top w:val="single" w:color="000000" w:sz="4" w:space="0"/>
              <w:left w:val="single" w:color="000000" w:sz="4" w:space="0"/>
              <w:bottom w:val="single" w:color="000000" w:sz="4" w:space="0"/>
              <w:right w:val="single" w:color="000000" w:sz="4" w:space="0"/>
            </w:tcBorders>
            <w:vAlign w:val="center"/>
          </w:tcPr>
          <w:p w14:paraId="70191FC8">
            <w:pPr>
              <w:widowControl/>
              <w:spacing w:line="260" w:lineRule="exact"/>
              <w:jc w:val="center"/>
              <w:textAlignment w:val="center"/>
              <w:rPr>
                <w:rFonts w:hint="eastAsia" w:eastAsia="宋体"/>
                <w:kern w:val="0"/>
                <w:sz w:val="20"/>
                <w:szCs w:val="22"/>
                <w:lang w:eastAsia="zh-CN"/>
              </w:rPr>
            </w:pPr>
            <w:r>
              <w:rPr>
                <w:rFonts w:hint="eastAsia"/>
                <w:kern w:val="0"/>
                <w:sz w:val="20"/>
                <w:szCs w:val="22"/>
                <w:lang w:val="en-US" w:eastAsia="zh-CN"/>
              </w:rPr>
              <w:t>1</w:t>
            </w:r>
          </w:p>
        </w:tc>
        <w:tc>
          <w:tcPr>
            <w:tcW w:w="690" w:type="dxa"/>
            <w:tcBorders>
              <w:top w:val="single" w:color="000000" w:sz="4" w:space="0"/>
              <w:left w:val="single" w:color="000000" w:sz="4" w:space="0"/>
              <w:bottom w:val="single" w:color="000000" w:sz="4" w:space="0"/>
              <w:right w:val="single" w:color="000000" w:sz="4" w:space="0"/>
            </w:tcBorders>
            <w:vAlign w:val="center"/>
          </w:tcPr>
          <w:p w14:paraId="22025638">
            <w:pPr>
              <w:widowControl/>
              <w:spacing w:line="260" w:lineRule="exact"/>
              <w:jc w:val="center"/>
              <w:textAlignment w:val="center"/>
              <w:rPr>
                <w:kern w:val="0"/>
                <w:sz w:val="20"/>
                <w:szCs w:val="22"/>
              </w:rPr>
            </w:pPr>
            <w:r>
              <w:rPr>
                <w:rFonts w:hint="eastAsia"/>
                <w:kern w:val="0"/>
                <w:sz w:val="20"/>
                <w:szCs w:val="22"/>
              </w:rPr>
              <w:t>套</w:t>
            </w:r>
          </w:p>
        </w:tc>
        <w:tc>
          <w:tcPr>
            <w:tcW w:w="3120" w:type="dxa"/>
            <w:tcBorders>
              <w:top w:val="single" w:color="000000" w:sz="4" w:space="0"/>
              <w:left w:val="single" w:color="000000" w:sz="4" w:space="0"/>
              <w:bottom w:val="single" w:color="000000" w:sz="4" w:space="0"/>
              <w:right w:val="single" w:color="000000" w:sz="4" w:space="0"/>
            </w:tcBorders>
            <w:vAlign w:val="center"/>
          </w:tcPr>
          <w:p w14:paraId="4105C1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kern w:val="0"/>
                <w:sz w:val="20"/>
                <w:szCs w:val="22"/>
              </w:rPr>
            </w:pPr>
            <w:r>
              <w:rPr>
                <w:rFonts w:hint="eastAsia" w:ascii="宋体" w:hAnsi="宋体" w:eastAsia="宋体" w:cs="宋体"/>
                <w:b w:val="0"/>
                <w:bCs w:val="0"/>
                <w:sz w:val="21"/>
                <w:szCs w:val="21"/>
                <w:vertAlign w:val="baseline"/>
                <w:lang w:val="en-US" w:eastAsia="zh-CN"/>
              </w:rPr>
              <w:t>线长35米</w:t>
            </w:r>
          </w:p>
        </w:tc>
        <w:tc>
          <w:tcPr>
            <w:tcW w:w="960" w:type="dxa"/>
            <w:tcBorders>
              <w:top w:val="single" w:color="000000" w:sz="4" w:space="0"/>
              <w:left w:val="single" w:color="000000" w:sz="4" w:space="0"/>
              <w:bottom w:val="single" w:color="000000" w:sz="4" w:space="0"/>
              <w:right w:val="single" w:color="auto" w:sz="4" w:space="0"/>
            </w:tcBorders>
            <w:noWrap/>
            <w:vAlign w:val="center"/>
          </w:tcPr>
          <w:p w14:paraId="221BEE0D">
            <w:pPr>
              <w:spacing w:line="260" w:lineRule="exact"/>
              <w:ind w:firstLine="480" w:firstLineChars="200"/>
              <w:jc w:val="center"/>
              <w:rPr>
                <w:sz w:val="24"/>
              </w:rPr>
            </w:pPr>
          </w:p>
        </w:tc>
        <w:tc>
          <w:tcPr>
            <w:tcW w:w="720" w:type="dxa"/>
            <w:tcBorders>
              <w:top w:val="single" w:color="000000" w:sz="4" w:space="0"/>
              <w:left w:val="single" w:color="auto" w:sz="4" w:space="0"/>
              <w:bottom w:val="single" w:color="000000" w:sz="4" w:space="0"/>
              <w:right w:val="single" w:color="auto" w:sz="4" w:space="0"/>
            </w:tcBorders>
            <w:vAlign w:val="center"/>
          </w:tcPr>
          <w:p w14:paraId="00A6D85A">
            <w:pPr>
              <w:spacing w:line="260" w:lineRule="exact"/>
              <w:ind w:firstLine="480" w:firstLineChars="200"/>
              <w:jc w:val="center"/>
              <w:rPr>
                <w:sz w:val="24"/>
              </w:rPr>
            </w:pPr>
          </w:p>
        </w:tc>
        <w:tc>
          <w:tcPr>
            <w:tcW w:w="1245" w:type="dxa"/>
            <w:tcBorders>
              <w:top w:val="single" w:color="000000" w:sz="4" w:space="0"/>
              <w:left w:val="single" w:color="auto" w:sz="4" w:space="0"/>
              <w:bottom w:val="single" w:color="000000" w:sz="4" w:space="0"/>
              <w:right w:val="single" w:color="000000" w:sz="4" w:space="0"/>
            </w:tcBorders>
            <w:vAlign w:val="center"/>
          </w:tcPr>
          <w:p w14:paraId="4A95C4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sz w:val="24"/>
              </w:rPr>
            </w:pPr>
            <w:r>
              <w:rPr>
                <w:rFonts w:hint="eastAsia" w:ascii="宋体" w:hAnsi="宋体" w:eastAsia="宋体" w:cs="宋体"/>
                <w:b w:val="0"/>
                <w:bCs w:val="0"/>
                <w:sz w:val="21"/>
                <w:szCs w:val="21"/>
                <w:vertAlign w:val="baseline"/>
                <w:lang w:val="en-US" w:eastAsia="zh-CN"/>
              </w:rPr>
              <w:t>适配：明特PH2200</w:t>
            </w:r>
          </w:p>
        </w:tc>
      </w:tr>
      <w:tr w14:paraId="756B2F16">
        <w:tblPrEx>
          <w:tblCellMar>
            <w:top w:w="0" w:type="dxa"/>
            <w:left w:w="108" w:type="dxa"/>
            <w:bottom w:w="0" w:type="dxa"/>
            <w:right w:w="108" w:type="dxa"/>
          </w:tblCellMar>
        </w:tblPrEx>
        <w:trPr>
          <w:trHeight w:val="550" w:hRule="atLeast"/>
          <w:jc w:val="center"/>
        </w:trPr>
        <w:tc>
          <w:tcPr>
            <w:tcW w:w="1968" w:type="dxa"/>
            <w:gridSpan w:val="2"/>
            <w:tcBorders>
              <w:top w:val="single" w:color="000000" w:sz="4" w:space="0"/>
              <w:left w:val="single" w:color="000000" w:sz="4" w:space="0"/>
              <w:bottom w:val="single" w:color="000000" w:sz="4" w:space="0"/>
              <w:right w:val="single" w:color="000000" w:sz="4" w:space="0"/>
            </w:tcBorders>
            <w:vAlign w:val="center"/>
          </w:tcPr>
          <w:p w14:paraId="67985618">
            <w:pPr>
              <w:widowControl/>
              <w:jc w:val="center"/>
              <w:textAlignment w:val="center"/>
              <w:rPr>
                <w:kern w:val="0"/>
                <w:sz w:val="20"/>
                <w:szCs w:val="22"/>
              </w:rPr>
            </w:pPr>
            <w:r>
              <w:rPr>
                <w:rFonts w:hint="eastAsia"/>
                <w:kern w:val="0"/>
                <w:sz w:val="20"/>
                <w:szCs w:val="22"/>
              </w:rPr>
              <w:t>合计</w:t>
            </w:r>
          </w:p>
        </w:tc>
        <w:tc>
          <w:tcPr>
            <w:tcW w:w="7230" w:type="dxa"/>
            <w:gridSpan w:val="6"/>
            <w:tcBorders>
              <w:top w:val="single" w:color="000000" w:sz="4" w:space="0"/>
              <w:left w:val="single" w:color="000000" w:sz="4" w:space="0"/>
              <w:bottom w:val="single" w:color="000000" w:sz="4" w:space="0"/>
              <w:right w:val="single" w:color="000000" w:sz="4" w:space="0"/>
            </w:tcBorders>
            <w:vAlign w:val="center"/>
          </w:tcPr>
          <w:p w14:paraId="4B9BD2E0">
            <w:pPr>
              <w:ind w:firstLine="400" w:firstLineChars="200"/>
              <w:jc w:val="left"/>
              <w:rPr>
                <w:sz w:val="20"/>
                <w:szCs w:val="20"/>
                <w:u w:val="single"/>
              </w:rPr>
            </w:pPr>
            <w:r>
              <w:rPr>
                <w:rFonts w:hint="eastAsia"/>
                <w:sz w:val="20"/>
                <w:szCs w:val="20"/>
              </w:rPr>
              <w:t>大写：</w:t>
            </w:r>
            <w:r>
              <w:rPr>
                <w:rFonts w:hint="eastAsia"/>
                <w:sz w:val="20"/>
                <w:szCs w:val="20"/>
                <w:u w:val="single"/>
              </w:rPr>
              <w:t xml:space="preserve">            元（￥：         元）</w:t>
            </w:r>
          </w:p>
        </w:tc>
      </w:tr>
    </w:tbl>
    <w:p w14:paraId="6D1B4FC1">
      <w:pPr>
        <w:pStyle w:val="16"/>
        <w:widowControl/>
        <w:spacing w:before="466" w:after="450" w:line="400" w:lineRule="exact"/>
        <w:ind w:firstLine="560"/>
        <w:jc w:val="both"/>
        <w:rPr>
          <w:rFonts w:ascii="仿宋" w:hAnsi="仿宋" w:eastAsia="仿宋" w:cs="仿宋"/>
          <w:sz w:val="28"/>
          <w:szCs w:val="28"/>
        </w:rPr>
      </w:pPr>
      <w:r>
        <w:rPr>
          <w:rFonts w:hint="eastAsia" w:ascii="仿宋" w:hAnsi="仿宋" w:eastAsia="仿宋" w:cs="仿宋"/>
          <w:color w:val="333333"/>
          <w:sz w:val="28"/>
          <w:szCs w:val="28"/>
        </w:rPr>
        <w:t>报价单位盖章：</w:t>
      </w:r>
      <w:r>
        <w:rPr>
          <w:rFonts w:hint="eastAsia" w:ascii="仿宋" w:hAnsi="仿宋" w:eastAsia="仿宋" w:cs="仿宋"/>
          <w:color w:val="333333"/>
          <w:sz w:val="28"/>
          <w:szCs w:val="28"/>
          <w:u w:val="single"/>
        </w:rPr>
        <w:t>　　　　　　　　</w:t>
      </w:r>
      <w:r>
        <w:rPr>
          <w:rFonts w:hint="eastAsia" w:ascii="仿宋" w:hAnsi="仿宋" w:eastAsia="仿宋" w:cs="仿宋"/>
          <w:color w:val="333333"/>
          <w:sz w:val="28"/>
          <w:szCs w:val="28"/>
        </w:rPr>
        <w:t xml:space="preserve">        </w:t>
      </w:r>
    </w:p>
    <w:p w14:paraId="6A4755EC">
      <w:pPr>
        <w:pStyle w:val="16"/>
        <w:widowControl/>
        <w:spacing w:before="466" w:after="450" w:line="400" w:lineRule="exact"/>
        <w:ind w:firstLine="560"/>
        <w:jc w:val="both"/>
        <w:rPr>
          <w:rFonts w:ascii="仿宋" w:hAnsi="仿宋" w:eastAsia="仿宋" w:cs="仿宋"/>
          <w:sz w:val="28"/>
          <w:szCs w:val="28"/>
        </w:rPr>
      </w:pPr>
      <w:r>
        <w:rPr>
          <w:rFonts w:hint="eastAsia" w:ascii="仿宋" w:hAnsi="仿宋" w:eastAsia="仿宋" w:cs="仿宋"/>
          <w:color w:val="333333"/>
          <w:sz w:val="28"/>
          <w:szCs w:val="28"/>
        </w:rPr>
        <w:t>法定代表人或被授权人（签字或盖章）：</w:t>
      </w:r>
      <w:r>
        <w:rPr>
          <w:rFonts w:hint="eastAsia" w:ascii="仿宋" w:hAnsi="仿宋" w:eastAsia="仿宋" w:cs="仿宋"/>
          <w:color w:val="333333"/>
          <w:sz w:val="28"/>
          <w:szCs w:val="28"/>
          <w:u w:val="single"/>
        </w:rPr>
        <w:t>　　　　　　　　</w:t>
      </w:r>
    </w:p>
    <w:p w14:paraId="0CDD93B2">
      <w:pPr>
        <w:pStyle w:val="10"/>
        <w:spacing w:line="400" w:lineRule="exact"/>
        <w:ind w:firstLine="1400" w:firstLineChars="500"/>
        <w:jc w:val="right"/>
        <w:rPr>
          <w:rFonts w:ascii="仿宋" w:hAnsi="仿宋" w:eastAsia="仿宋" w:cs="仿宋"/>
          <w:color w:val="333333"/>
          <w:sz w:val="28"/>
          <w:szCs w:val="28"/>
        </w:rPr>
      </w:pPr>
      <w:r>
        <w:rPr>
          <w:rFonts w:hint="eastAsia" w:ascii="仿宋" w:hAnsi="仿宋" w:eastAsia="仿宋" w:cs="仿宋"/>
          <w:color w:val="333333"/>
          <w:sz w:val="28"/>
          <w:szCs w:val="28"/>
        </w:rPr>
        <w:t>年   月   日</w:t>
      </w:r>
    </w:p>
    <w:p w14:paraId="33C7CEA7">
      <w:pPr>
        <w:pStyle w:val="16"/>
        <w:widowControl/>
        <w:spacing w:before="466" w:after="450" w:line="4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u w:val="single"/>
        </w:rPr>
        <w:t>（本报价表须机打并加盖报价单位公章，手填无效。）</w:t>
      </w:r>
      <w:bookmarkEnd w:id="2"/>
    </w:p>
    <w:p w14:paraId="59CD5BF9">
      <w:pPr>
        <w:jc w:val="left"/>
        <w:rPr>
          <w:rFonts w:hint="eastAsia" w:ascii="宋体" w:hAnsi="宋体" w:cs="宋体"/>
          <w:bCs/>
          <w:sz w:val="44"/>
          <w:szCs w:val="44"/>
        </w:rPr>
      </w:pPr>
      <w:r>
        <w:rPr>
          <w:rFonts w:hint="eastAsia" w:ascii="仿宋" w:hAnsi="仿宋" w:eastAsia="仿宋" w:cs="仿宋"/>
          <w:b/>
          <w:color w:val="333333"/>
          <w:sz w:val="28"/>
          <w:szCs w:val="28"/>
        </w:rPr>
        <w:t>附件七：</w:t>
      </w:r>
    </w:p>
    <w:p w14:paraId="201682FE">
      <w:pPr>
        <w:jc w:val="center"/>
        <w:rPr>
          <w:rFonts w:hint="eastAsia" w:ascii="仿宋" w:hAnsi="仿宋" w:eastAsia="仿宋" w:cs="宋体"/>
          <w:bCs/>
          <w:sz w:val="28"/>
          <w:szCs w:val="28"/>
        </w:rPr>
      </w:pPr>
      <w:r>
        <w:rPr>
          <w:rFonts w:hint="eastAsia" w:ascii="仿宋" w:hAnsi="仿宋" w:eastAsia="仿宋" w:cs="宋体"/>
          <w:bCs/>
          <w:sz w:val="28"/>
          <w:szCs w:val="28"/>
        </w:rPr>
        <w:t>质疑函范本</w:t>
      </w:r>
    </w:p>
    <w:p w14:paraId="4EFF9CCC">
      <w:pPr>
        <w:adjustRightInd w:val="0"/>
        <w:snapToGrid w:val="0"/>
        <w:spacing w:beforeLines="100" w:line="360" w:lineRule="auto"/>
        <w:rPr>
          <w:rFonts w:hint="eastAsia" w:ascii="仿宋" w:hAnsi="仿宋" w:eastAsia="仿宋" w:cs="宋体"/>
          <w:bCs/>
          <w:sz w:val="28"/>
          <w:szCs w:val="28"/>
        </w:rPr>
      </w:pPr>
      <w:r>
        <w:rPr>
          <w:rFonts w:hint="eastAsia" w:ascii="仿宋" w:hAnsi="仿宋" w:eastAsia="仿宋" w:cs="宋体"/>
          <w:bCs/>
          <w:sz w:val="28"/>
          <w:szCs w:val="28"/>
        </w:rPr>
        <w:t>一、质疑供应商基本信息</w:t>
      </w:r>
    </w:p>
    <w:p w14:paraId="1C20C4EA">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质疑供应商：</w:t>
      </w:r>
    </w:p>
    <w:p w14:paraId="6BD08AE3">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地址：邮编：</w:t>
      </w:r>
    </w:p>
    <w:p w14:paraId="08161E13">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联系人：联系电话：</w:t>
      </w:r>
    </w:p>
    <w:p w14:paraId="698C5F9D">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授权代表：</w:t>
      </w:r>
    </w:p>
    <w:p w14:paraId="244D7AD8">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联系电话：</w:t>
      </w:r>
    </w:p>
    <w:p w14:paraId="0E6799AA">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地址：邮编：</w:t>
      </w:r>
    </w:p>
    <w:p w14:paraId="63E4AC42">
      <w:pPr>
        <w:adjustRightInd w:val="0"/>
        <w:snapToGrid w:val="0"/>
        <w:spacing w:line="360" w:lineRule="auto"/>
        <w:rPr>
          <w:rFonts w:hint="eastAsia" w:ascii="仿宋" w:hAnsi="仿宋" w:eastAsia="仿宋" w:cs="宋体"/>
          <w:bCs/>
          <w:sz w:val="28"/>
          <w:szCs w:val="28"/>
        </w:rPr>
      </w:pPr>
      <w:r>
        <w:rPr>
          <w:rFonts w:hint="eastAsia" w:ascii="仿宋" w:hAnsi="仿宋" w:eastAsia="仿宋" w:cs="宋体"/>
          <w:bCs/>
          <w:sz w:val="28"/>
          <w:szCs w:val="28"/>
        </w:rPr>
        <w:t>二、质疑项目基本情况</w:t>
      </w:r>
    </w:p>
    <w:p w14:paraId="6FDFDFC1">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质疑项目的名称：</w:t>
      </w:r>
    </w:p>
    <w:p w14:paraId="7D66BA90">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质疑项目的编号：包号：</w:t>
      </w:r>
    </w:p>
    <w:p w14:paraId="08FFFF29">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采购人名称：</w:t>
      </w:r>
    </w:p>
    <w:p w14:paraId="5A304061">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采购文件获取日期：</w:t>
      </w:r>
    </w:p>
    <w:p w14:paraId="7503057F">
      <w:pPr>
        <w:adjustRightInd w:val="0"/>
        <w:snapToGrid w:val="0"/>
        <w:spacing w:line="360" w:lineRule="auto"/>
        <w:rPr>
          <w:rFonts w:hint="eastAsia" w:ascii="仿宋" w:hAnsi="仿宋" w:eastAsia="仿宋" w:cs="宋体"/>
          <w:bCs/>
          <w:sz w:val="28"/>
          <w:szCs w:val="28"/>
        </w:rPr>
      </w:pPr>
      <w:r>
        <w:rPr>
          <w:rFonts w:hint="eastAsia" w:ascii="仿宋" w:hAnsi="仿宋" w:eastAsia="仿宋" w:cs="宋体"/>
          <w:bCs/>
          <w:sz w:val="28"/>
          <w:szCs w:val="28"/>
        </w:rPr>
        <w:t>三、质疑事项具体内容</w:t>
      </w:r>
    </w:p>
    <w:p w14:paraId="5FEA6A2F">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质疑事项1：</w:t>
      </w:r>
    </w:p>
    <w:p w14:paraId="50009E76">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事实依据：</w:t>
      </w:r>
    </w:p>
    <w:p w14:paraId="314843C9">
      <w:pPr>
        <w:adjustRightInd w:val="0"/>
        <w:snapToGrid w:val="0"/>
        <w:spacing w:line="360" w:lineRule="auto"/>
        <w:rPr>
          <w:rFonts w:hint="eastAsia" w:ascii="仿宋" w:hAnsi="仿宋" w:eastAsia="仿宋" w:cs="宋体"/>
          <w:sz w:val="28"/>
          <w:szCs w:val="28"/>
        </w:rPr>
      </w:pPr>
    </w:p>
    <w:p w14:paraId="078261F5">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法律依据：</w:t>
      </w:r>
    </w:p>
    <w:p w14:paraId="78F7D6C5">
      <w:pPr>
        <w:adjustRightInd w:val="0"/>
        <w:snapToGrid w:val="0"/>
        <w:spacing w:line="360" w:lineRule="auto"/>
        <w:rPr>
          <w:rFonts w:hint="eastAsia" w:ascii="仿宋" w:hAnsi="仿宋" w:eastAsia="仿宋" w:cs="宋体"/>
          <w:sz w:val="28"/>
          <w:szCs w:val="28"/>
          <w:u w:val="dotted"/>
        </w:rPr>
      </w:pPr>
    </w:p>
    <w:p w14:paraId="34B1E7A4">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质疑事项2</w:t>
      </w:r>
    </w:p>
    <w:p w14:paraId="67B7B223">
      <w:pPr>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w:t>
      </w:r>
    </w:p>
    <w:p w14:paraId="69417C05">
      <w:pPr>
        <w:adjustRightInd w:val="0"/>
        <w:snapToGrid w:val="0"/>
        <w:spacing w:line="360" w:lineRule="auto"/>
        <w:rPr>
          <w:rFonts w:hint="eastAsia" w:ascii="仿宋" w:hAnsi="仿宋" w:eastAsia="仿宋" w:cs="宋体"/>
          <w:bCs/>
          <w:sz w:val="28"/>
          <w:szCs w:val="28"/>
        </w:rPr>
      </w:pPr>
      <w:r>
        <w:rPr>
          <w:rFonts w:hint="eastAsia" w:ascii="仿宋" w:hAnsi="仿宋" w:eastAsia="仿宋" w:cs="宋体"/>
          <w:bCs/>
          <w:sz w:val="28"/>
          <w:szCs w:val="28"/>
        </w:rPr>
        <w:t>四、与质疑事项相关的质疑请求</w:t>
      </w:r>
    </w:p>
    <w:p w14:paraId="7EB5C4F7">
      <w:pPr>
        <w:adjustRightInd w:val="0"/>
        <w:snapToGrid w:val="0"/>
        <w:spacing w:line="360" w:lineRule="auto"/>
        <w:rPr>
          <w:rFonts w:hint="eastAsia" w:ascii="仿宋" w:hAnsi="仿宋" w:eastAsia="仿宋" w:cs="宋体"/>
          <w:sz w:val="28"/>
          <w:szCs w:val="28"/>
          <w:u w:val="dotted"/>
        </w:rPr>
      </w:pPr>
      <w:r>
        <w:rPr>
          <w:rFonts w:hint="eastAsia" w:ascii="仿宋" w:hAnsi="仿宋" w:eastAsia="仿宋" w:cs="宋体"/>
          <w:sz w:val="28"/>
          <w:szCs w:val="28"/>
        </w:rPr>
        <w:t>请求：</w:t>
      </w:r>
    </w:p>
    <w:p w14:paraId="7A940AF6">
      <w:pPr>
        <w:rPr>
          <w:rFonts w:hint="eastAsia" w:ascii="仿宋" w:hAnsi="仿宋" w:eastAsia="仿宋" w:cs="宋体"/>
          <w:sz w:val="28"/>
          <w:szCs w:val="28"/>
        </w:rPr>
      </w:pPr>
      <w:r>
        <w:rPr>
          <w:rFonts w:hint="eastAsia" w:ascii="仿宋" w:hAnsi="仿宋" w:eastAsia="仿宋" w:cs="宋体"/>
          <w:sz w:val="28"/>
          <w:szCs w:val="28"/>
        </w:rPr>
        <w:t xml:space="preserve">签字(签章)：                   公章：                      </w:t>
      </w:r>
    </w:p>
    <w:p w14:paraId="62B60D37">
      <w:pPr>
        <w:rPr>
          <w:rFonts w:hint="eastAsia" w:ascii="仿宋" w:hAnsi="仿宋" w:eastAsia="仿宋" w:cs="宋体"/>
          <w:sz w:val="28"/>
          <w:szCs w:val="28"/>
        </w:rPr>
      </w:pPr>
      <w:r>
        <w:rPr>
          <w:rFonts w:hint="eastAsia" w:ascii="仿宋" w:hAnsi="仿宋" w:eastAsia="仿宋" w:cs="宋体"/>
          <w:sz w:val="28"/>
          <w:szCs w:val="28"/>
        </w:rPr>
        <w:t xml:space="preserve">日期：    </w:t>
      </w:r>
    </w:p>
    <w:p w14:paraId="5B360CDB">
      <w:pPr>
        <w:rPr>
          <w:rFonts w:hint="eastAsia" w:ascii="仿宋" w:hAnsi="仿宋" w:eastAsia="仿宋" w:cs="宋体"/>
          <w:b/>
          <w:sz w:val="28"/>
          <w:szCs w:val="28"/>
        </w:rPr>
      </w:pPr>
      <w:r>
        <w:rPr>
          <w:rFonts w:hint="eastAsia" w:ascii="仿宋" w:hAnsi="仿宋" w:eastAsia="仿宋" w:cs="宋体"/>
          <w:b/>
          <w:sz w:val="28"/>
          <w:szCs w:val="28"/>
        </w:rPr>
        <w:t>质疑函制作说明：</w:t>
      </w:r>
    </w:p>
    <w:p w14:paraId="4CD75406">
      <w:pPr>
        <w:widowControl/>
        <w:ind w:firstLine="560" w:firstLineChars="200"/>
        <w:jc w:val="left"/>
        <w:rPr>
          <w:rFonts w:hint="eastAsia" w:ascii="仿宋" w:hAnsi="仿宋" w:eastAsia="仿宋" w:cs="宋体"/>
          <w:sz w:val="28"/>
          <w:szCs w:val="28"/>
        </w:rPr>
      </w:pPr>
      <w:r>
        <w:rPr>
          <w:rFonts w:hint="eastAsia" w:ascii="仿宋" w:hAnsi="仿宋" w:eastAsia="仿宋" w:cs="宋体"/>
          <w:sz w:val="28"/>
          <w:szCs w:val="28"/>
        </w:rPr>
        <w:t>1.供应商提出质疑时，应提交质疑函和必要的证明材料。</w:t>
      </w:r>
    </w:p>
    <w:p w14:paraId="08FFEBDD">
      <w:pPr>
        <w:widowControl/>
        <w:ind w:firstLine="560" w:firstLineChars="200"/>
        <w:jc w:val="left"/>
        <w:rPr>
          <w:rFonts w:hint="eastAsia" w:ascii="仿宋" w:hAnsi="仿宋" w:eastAsia="仿宋" w:cs="宋体"/>
          <w:sz w:val="28"/>
          <w:szCs w:val="28"/>
        </w:rPr>
      </w:pPr>
      <w:r>
        <w:rPr>
          <w:rFonts w:hint="eastAsia" w:ascii="仿宋" w:hAnsi="仿宋" w:eastAsia="仿宋" w:cs="宋体"/>
          <w:sz w:val="28"/>
          <w:szCs w:val="28"/>
        </w:rPr>
        <w:t>2.质疑供应商若委托代理人进行质疑的，质疑函应按要求列明“授权代表”的有关内容，并在附件中提交由质疑</w:t>
      </w:r>
      <w:r>
        <w:rPr>
          <w:rFonts w:hint="eastAsia" w:ascii="仿宋" w:hAnsi="仿宋" w:eastAsia="仿宋" w:cs="宋体"/>
          <w:kern w:val="0"/>
          <w:sz w:val="28"/>
          <w:szCs w:val="28"/>
        </w:rPr>
        <w:t>供应商签署的授权委托书。授权委托书应载明代理人的姓名或者名称、代理事项、具体权限、期限和相关事项。</w:t>
      </w:r>
    </w:p>
    <w:p w14:paraId="778722D6">
      <w:pPr>
        <w:widowControl/>
        <w:ind w:firstLine="560" w:firstLineChars="200"/>
        <w:jc w:val="left"/>
        <w:rPr>
          <w:rFonts w:hint="eastAsia" w:ascii="仿宋" w:hAnsi="仿宋" w:eastAsia="仿宋" w:cs="宋体"/>
          <w:sz w:val="28"/>
          <w:szCs w:val="28"/>
        </w:rPr>
      </w:pPr>
      <w:r>
        <w:rPr>
          <w:rFonts w:hint="eastAsia" w:ascii="仿宋" w:hAnsi="仿宋" w:eastAsia="仿宋" w:cs="宋体"/>
          <w:sz w:val="28"/>
          <w:szCs w:val="28"/>
        </w:rPr>
        <w:t>3.质疑供应商若对项目的某一分包进行质疑，质疑函中应列明具体分包号。</w:t>
      </w:r>
    </w:p>
    <w:p w14:paraId="3C9F9089">
      <w:pPr>
        <w:widowControl/>
        <w:ind w:firstLine="560" w:firstLineChars="200"/>
        <w:jc w:val="left"/>
        <w:rPr>
          <w:rFonts w:hint="eastAsia" w:ascii="仿宋" w:hAnsi="仿宋" w:eastAsia="仿宋" w:cs="宋体"/>
          <w:sz w:val="28"/>
          <w:szCs w:val="28"/>
        </w:rPr>
      </w:pPr>
      <w:r>
        <w:rPr>
          <w:rFonts w:hint="eastAsia" w:ascii="仿宋" w:hAnsi="仿宋" w:eastAsia="仿宋" w:cs="宋体"/>
          <w:sz w:val="28"/>
          <w:szCs w:val="28"/>
        </w:rPr>
        <w:t>4.质疑函的质疑事项应具体、明确，并有必要的事实依据和法律依据。</w:t>
      </w:r>
    </w:p>
    <w:p w14:paraId="18A68809">
      <w:pPr>
        <w:widowControl/>
        <w:ind w:firstLine="560" w:firstLineChars="200"/>
        <w:jc w:val="left"/>
        <w:rPr>
          <w:rFonts w:hint="eastAsia" w:ascii="仿宋" w:hAnsi="仿宋" w:eastAsia="仿宋" w:cs="宋体"/>
          <w:sz w:val="28"/>
          <w:szCs w:val="28"/>
        </w:rPr>
      </w:pPr>
      <w:r>
        <w:rPr>
          <w:rFonts w:hint="eastAsia" w:ascii="仿宋" w:hAnsi="仿宋" w:eastAsia="仿宋" w:cs="宋体"/>
          <w:sz w:val="28"/>
          <w:szCs w:val="28"/>
        </w:rPr>
        <w:t>5.质疑函的质疑请求应与质疑事项相关。</w:t>
      </w:r>
    </w:p>
    <w:p w14:paraId="77889FEF">
      <w:pPr>
        <w:widowControl/>
        <w:ind w:firstLine="560" w:firstLineChars="200"/>
        <w:jc w:val="left"/>
        <w:rPr>
          <w:rFonts w:ascii="仿宋" w:hAnsi="仿宋" w:eastAsia="仿宋" w:cs="仿宋"/>
          <w:sz w:val="28"/>
          <w:szCs w:val="28"/>
        </w:rPr>
      </w:pPr>
      <w:r>
        <w:rPr>
          <w:rFonts w:hint="eastAsia" w:ascii="仿宋" w:hAnsi="仿宋" w:eastAsia="仿宋" w:cs="宋体"/>
          <w:sz w:val="28"/>
          <w:szCs w:val="28"/>
        </w:rPr>
        <w:t>6.质疑供应商为自然人的，质疑函应由本人签字；质疑供应商为法人或者其他组织的，质疑函应由法定代表人、主要负责人，或者其授权代表签字或者盖章，并加盖公章。</w:t>
      </w:r>
    </w:p>
    <w:sectPr>
      <w:footerReference r:id="rId4" w:type="default"/>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01B1">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KcK6onUAQAAtAMAAA4AAAAAAAAAAQAgAAAAHgEA&#10;AGRycy9lMm9Eb2MueG1sUEsFBgAAAAAGAAYAWQEAAGQFAAAAAA==&#10;">
          <v:path/>
          <v:fill on="f" focussize="0,0"/>
          <v:stroke on="f" joinstyle="miter"/>
          <v:imagedata o:title=""/>
          <o:lock v:ext="edit"/>
          <v:textbox inset="0mm,0mm,0mm,0mm" style="mso-fit-shape-to-text:t;">
            <w:txbxContent>
              <w:p w14:paraId="29E45E23">
                <w:pPr>
                  <w:pStyle w:val="14"/>
                </w:pPr>
                <w:r>
                  <w:fldChar w:fldCharType="begin"/>
                </w:r>
                <w:r>
                  <w:instrText xml:space="preserve"> PAGE  \* MERGEFORMAT </w:instrText>
                </w:r>
                <w:r>
                  <w:fldChar w:fldCharType="separate"/>
                </w:r>
                <w:r>
                  <w:t>24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96BE">
    <w:pPr>
      <w:pStyle w:val="14"/>
    </w:pPr>
    <w:r>
      <w:pict>
        <v:shape id="文本框 1"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qy7a4dMBAAC0AwAADgAAAAAAAAABACAAAAAeAQAA&#10;ZHJzL2Uyb0RvYy54bWxQSwUGAAAAAAYABgBZAQAAYwUAAAAA&#10;">
          <v:path/>
          <v:fill on="f" focussize="0,0"/>
          <v:stroke on="f" joinstyle="miter"/>
          <v:imagedata o:title=""/>
          <o:lock v:ext="edit"/>
          <v:textbox inset="0mm,0mm,0mm,0mm" style="mso-fit-shape-to-text:t;">
            <w:txbxContent>
              <w:p w14:paraId="05970FBC">
                <w:pPr>
                  <w:pStyle w:val="14"/>
                </w:pPr>
                <w:r>
                  <w:fldChar w:fldCharType="begin"/>
                </w:r>
                <w:r>
                  <w:instrText xml:space="preserve"> PAGE  \* MERGEFORMAT </w:instrText>
                </w:r>
                <w:r>
                  <w:fldChar w:fldCharType="separate"/>
                </w:r>
                <w:r>
                  <w:t>27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3OTA2NmJiOTdjMzQxNzZlNGMwNzFhMzA4MDdmZGUifQ=="/>
    <w:docVar w:name="KSO_WPS_MARK_KEY" w:val="0d0f72ca-750d-4d44-867d-6db146c895d7"/>
  </w:docVars>
  <w:rsids>
    <w:rsidRoot w:val="00F62FC0"/>
    <w:rsid w:val="0002727E"/>
    <w:rsid w:val="0003096F"/>
    <w:rsid w:val="0003516E"/>
    <w:rsid w:val="000729D7"/>
    <w:rsid w:val="00083BEF"/>
    <w:rsid w:val="0008479C"/>
    <w:rsid w:val="000B4153"/>
    <w:rsid w:val="00100163"/>
    <w:rsid w:val="00102E04"/>
    <w:rsid w:val="00144E8B"/>
    <w:rsid w:val="00180190"/>
    <w:rsid w:val="00181D06"/>
    <w:rsid w:val="001828B6"/>
    <w:rsid w:val="00197C4F"/>
    <w:rsid w:val="001A1DFF"/>
    <w:rsid w:val="001A6B97"/>
    <w:rsid w:val="001D674D"/>
    <w:rsid w:val="001E3F29"/>
    <w:rsid w:val="001E65B2"/>
    <w:rsid w:val="001F0D84"/>
    <w:rsid w:val="0020017B"/>
    <w:rsid w:val="00200654"/>
    <w:rsid w:val="00201036"/>
    <w:rsid w:val="00220A88"/>
    <w:rsid w:val="0022584D"/>
    <w:rsid w:val="00227DB9"/>
    <w:rsid w:val="002478C6"/>
    <w:rsid w:val="00264A76"/>
    <w:rsid w:val="00281F70"/>
    <w:rsid w:val="00297703"/>
    <w:rsid w:val="002A0528"/>
    <w:rsid w:val="002A1ADC"/>
    <w:rsid w:val="002A457D"/>
    <w:rsid w:val="002C5B3B"/>
    <w:rsid w:val="002E03EC"/>
    <w:rsid w:val="002F497F"/>
    <w:rsid w:val="002F73D9"/>
    <w:rsid w:val="00304FDB"/>
    <w:rsid w:val="00313926"/>
    <w:rsid w:val="00315070"/>
    <w:rsid w:val="003235FC"/>
    <w:rsid w:val="00324738"/>
    <w:rsid w:val="003271DA"/>
    <w:rsid w:val="003308B4"/>
    <w:rsid w:val="003467E5"/>
    <w:rsid w:val="0039511D"/>
    <w:rsid w:val="00395C74"/>
    <w:rsid w:val="00396938"/>
    <w:rsid w:val="003A2AC9"/>
    <w:rsid w:val="003C3FB4"/>
    <w:rsid w:val="003C4C7F"/>
    <w:rsid w:val="003D7A26"/>
    <w:rsid w:val="003E23BD"/>
    <w:rsid w:val="00402C7F"/>
    <w:rsid w:val="00404EBC"/>
    <w:rsid w:val="004336AD"/>
    <w:rsid w:val="00440BB5"/>
    <w:rsid w:val="00450871"/>
    <w:rsid w:val="0045484B"/>
    <w:rsid w:val="00466F0E"/>
    <w:rsid w:val="004A6DDD"/>
    <w:rsid w:val="004B0726"/>
    <w:rsid w:val="004C3D00"/>
    <w:rsid w:val="004D183B"/>
    <w:rsid w:val="004D5AAC"/>
    <w:rsid w:val="004D695B"/>
    <w:rsid w:val="004E04B4"/>
    <w:rsid w:val="004F1D89"/>
    <w:rsid w:val="004F4F3A"/>
    <w:rsid w:val="004F502C"/>
    <w:rsid w:val="005016D8"/>
    <w:rsid w:val="00501D15"/>
    <w:rsid w:val="00504557"/>
    <w:rsid w:val="0050643F"/>
    <w:rsid w:val="00507A77"/>
    <w:rsid w:val="00586A3C"/>
    <w:rsid w:val="00593720"/>
    <w:rsid w:val="005A13D0"/>
    <w:rsid w:val="005C5BE3"/>
    <w:rsid w:val="005D27E7"/>
    <w:rsid w:val="005F62E7"/>
    <w:rsid w:val="00605286"/>
    <w:rsid w:val="006123C5"/>
    <w:rsid w:val="00634DDD"/>
    <w:rsid w:val="00641ED9"/>
    <w:rsid w:val="006674E9"/>
    <w:rsid w:val="006800F2"/>
    <w:rsid w:val="006822CC"/>
    <w:rsid w:val="006905DF"/>
    <w:rsid w:val="00693E0E"/>
    <w:rsid w:val="0069689F"/>
    <w:rsid w:val="006A6502"/>
    <w:rsid w:val="006A6DC6"/>
    <w:rsid w:val="006D33A2"/>
    <w:rsid w:val="006D4549"/>
    <w:rsid w:val="006D566F"/>
    <w:rsid w:val="006D71A5"/>
    <w:rsid w:val="006F3C94"/>
    <w:rsid w:val="006F4B35"/>
    <w:rsid w:val="006F4E91"/>
    <w:rsid w:val="006F6B43"/>
    <w:rsid w:val="0070487D"/>
    <w:rsid w:val="00722DDC"/>
    <w:rsid w:val="007255B8"/>
    <w:rsid w:val="0073151E"/>
    <w:rsid w:val="007351DB"/>
    <w:rsid w:val="007357B9"/>
    <w:rsid w:val="00763ABD"/>
    <w:rsid w:val="00764802"/>
    <w:rsid w:val="00771D1E"/>
    <w:rsid w:val="007864D6"/>
    <w:rsid w:val="007916D7"/>
    <w:rsid w:val="007934B6"/>
    <w:rsid w:val="00795FBC"/>
    <w:rsid w:val="007B3937"/>
    <w:rsid w:val="007B6440"/>
    <w:rsid w:val="007D3F35"/>
    <w:rsid w:val="007D4054"/>
    <w:rsid w:val="007F1D90"/>
    <w:rsid w:val="007F55D0"/>
    <w:rsid w:val="00810C62"/>
    <w:rsid w:val="00832F45"/>
    <w:rsid w:val="0083373B"/>
    <w:rsid w:val="008436E9"/>
    <w:rsid w:val="008663BA"/>
    <w:rsid w:val="00894F02"/>
    <w:rsid w:val="008A0F83"/>
    <w:rsid w:val="008A2170"/>
    <w:rsid w:val="008B3DE6"/>
    <w:rsid w:val="008C2E30"/>
    <w:rsid w:val="00900C67"/>
    <w:rsid w:val="00903154"/>
    <w:rsid w:val="0090367A"/>
    <w:rsid w:val="009063B9"/>
    <w:rsid w:val="00922D33"/>
    <w:rsid w:val="00925C0F"/>
    <w:rsid w:val="009401D2"/>
    <w:rsid w:val="00940841"/>
    <w:rsid w:val="009415EB"/>
    <w:rsid w:val="00963970"/>
    <w:rsid w:val="00995D72"/>
    <w:rsid w:val="009A0940"/>
    <w:rsid w:val="009B2FE1"/>
    <w:rsid w:val="009E5B78"/>
    <w:rsid w:val="009F281B"/>
    <w:rsid w:val="009F67F2"/>
    <w:rsid w:val="00A31C98"/>
    <w:rsid w:val="00A364F1"/>
    <w:rsid w:val="00A44331"/>
    <w:rsid w:val="00A454F8"/>
    <w:rsid w:val="00A54718"/>
    <w:rsid w:val="00A55B25"/>
    <w:rsid w:val="00A66C5F"/>
    <w:rsid w:val="00A7578F"/>
    <w:rsid w:val="00A84C27"/>
    <w:rsid w:val="00A978BC"/>
    <w:rsid w:val="00B15370"/>
    <w:rsid w:val="00B254A0"/>
    <w:rsid w:val="00B25632"/>
    <w:rsid w:val="00B37F68"/>
    <w:rsid w:val="00B41BB2"/>
    <w:rsid w:val="00B562D6"/>
    <w:rsid w:val="00B637FC"/>
    <w:rsid w:val="00B65799"/>
    <w:rsid w:val="00B807CC"/>
    <w:rsid w:val="00B8312A"/>
    <w:rsid w:val="00BC118F"/>
    <w:rsid w:val="00C062A6"/>
    <w:rsid w:val="00C14E26"/>
    <w:rsid w:val="00C23252"/>
    <w:rsid w:val="00C3381B"/>
    <w:rsid w:val="00C3539B"/>
    <w:rsid w:val="00C45566"/>
    <w:rsid w:val="00C634E3"/>
    <w:rsid w:val="00C7242A"/>
    <w:rsid w:val="00C91432"/>
    <w:rsid w:val="00CA026C"/>
    <w:rsid w:val="00CB51BD"/>
    <w:rsid w:val="00CD131E"/>
    <w:rsid w:val="00CD2407"/>
    <w:rsid w:val="00CD4E32"/>
    <w:rsid w:val="00CE7EFD"/>
    <w:rsid w:val="00D0497C"/>
    <w:rsid w:val="00D06697"/>
    <w:rsid w:val="00D15439"/>
    <w:rsid w:val="00D16D9D"/>
    <w:rsid w:val="00D43C43"/>
    <w:rsid w:val="00D841AB"/>
    <w:rsid w:val="00DB58C5"/>
    <w:rsid w:val="00DC70A0"/>
    <w:rsid w:val="00DE38E8"/>
    <w:rsid w:val="00DF2374"/>
    <w:rsid w:val="00DF723F"/>
    <w:rsid w:val="00E06A24"/>
    <w:rsid w:val="00E42F7A"/>
    <w:rsid w:val="00E45FE3"/>
    <w:rsid w:val="00E56861"/>
    <w:rsid w:val="00E72A71"/>
    <w:rsid w:val="00E8022F"/>
    <w:rsid w:val="00E802EA"/>
    <w:rsid w:val="00EB4F8F"/>
    <w:rsid w:val="00EB5A07"/>
    <w:rsid w:val="00ED0F5D"/>
    <w:rsid w:val="00ED1E73"/>
    <w:rsid w:val="00ED5986"/>
    <w:rsid w:val="00EF5A05"/>
    <w:rsid w:val="00F4238A"/>
    <w:rsid w:val="00F4431A"/>
    <w:rsid w:val="00F62FC0"/>
    <w:rsid w:val="00F804FE"/>
    <w:rsid w:val="00F823F2"/>
    <w:rsid w:val="00FD2D74"/>
    <w:rsid w:val="00FF0967"/>
    <w:rsid w:val="0112363F"/>
    <w:rsid w:val="01381564"/>
    <w:rsid w:val="01536953"/>
    <w:rsid w:val="016251B9"/>
    <w:rsid w:val="016D4D19"/>
    <w:rsid w:val="01D73B9C"/>
    <w:rsid w:val="01E62942"/>
    <w:rsid w:val="01F74A60"/>
    <w:rsid w:val="01FD02D2"/>
    <w:rsid w:val="02182ED7"/>
    <w:rsid w:val="022B68B7"/>
    <w:rsid w:val="02453730"/>
    <w:rsid w:val="02493D31"/>
    <w:rsid w:val="026A7A5B"/>
    <w:rsid w:val="02C61D2F"/>
    <w:rsid w:val="02DA76BF"/>
    <w:rsid w:val="02E66B31"/>
    <w:rsid w:val="03132CDC"/>
    <w:rsid w:val="03364EDA"/>
    <w:rsid w:val="03453E72"/>
    <w:rsid w:val="039813CD"/>
    <w:rsid w:val="03A564D1"/>
    <w:rsid w:val="03CD58AD"/>
    <w:rsid w:val="03E71450"/>
    <w:rsid w:val="03EC160C"/>
    <w:rsid w:val="0422154A"/>
    <w:rsid w:val="043E468F"/>
    <w:rsid w:val="044D3EB3"/>
    <w:rsid w:val="04AA4A26"/>
    <w:rsid w:val="04AA518B"/>
    <w:rsid w:val="04AC7907"/>
    <w:rsid w:val="04B425D4"/>
    <w:rsid w:val="04C7375B"/>
    <w:rsid w:val="051D65FF"/>
    <w:rsid w:val="05235338"/>
    <w:rsid w:val="0534425E"/>
    <w:rsid w:val="05823955"/>
    <w:rsid w:val="05850883"/>
    <w:rsid w:val="05B433A4"/>
    <w:rsid w:val="05C0366A"/>
    <w:rsid w:val="05C65FD1"/>
    <w:rsid w:val="05F95F8D"/>
    <w:rsid w:val="060A20AF"/>
    <w:rsid w:val="0636670B"/>
    <w:rsid w:val="06404B10"/>
    <w:rsid w:val="067F454E"/>
    <w:rsid w:val="068E1AD9"/>
    <w:rsid w:val="06A27213"/>
    <w:rsid w:val="06BD5DFB"/>
    <w:rsid w:val="06DD7C15"/>
    <w:rsid w:val="06EF471A"/>
    <w:rsid w:val="071139E5"/>
    <w:rsid w:val="07426288"/>
    <w:rsid w:val="078028BE"/>
    <w:rsid w:val="07913F0A"/>
    <w:rsid w:val="07CC6095"/>
    <w:rsid w:val="07E21551"/>
    <w:rsid w:val="08031896"/>
    <w:rsid w:val="08122176"/>
    <w:rsid w:val="08211F54"/>
    <w:rsid w:val="08262C43"/>
    <w:rsid w:val="087345A0"/>
    <w:rsid w:val="08AF0317"/>
    <w:rsid w:val="08CC5D6F"/>
    <w:rsid w:val="09CB1463"/>
    <w:rsid w:val="09CF47C3"/>
    <w:rsid w:val="09D04F38"/>
    <w:rsid w:val="09F00295"/>
    <w:rsid w:val="0A0B693A"/>
    <w:rsid w:val="0A3355FE"/>
    <w:rsid w:val="0A8E1F88"/>
    <w:rsid w:val="0AB362D7"/>
    <w:rsid w:val="0AB669EE"/>
    <w:rsid w:val="0AC37758"/>
    <w:rsid w:val="0AD603AC"/>
    <w:rsid w:val="0ADF2225"/>
    <w:rsid w:val="0B0009AC"/>
    <w:rsid w:val="0B2725D0"/>
    <w:rsid w:val="0B2B77D7"/>
    <w:rsid w:val="0B6C2CEC"/>
    <w:rsid w:val="0B770C6E"/>
    <w:rsid w:val="0C572E1D"/>
    <w:rsid w:val="0C7945E1"/>
    <w:rsid w:val="0C7B29E0"/>
    <w:rsid w:val="0C7D22B4"/>
    <w:rsid w:val="0CA840D2"/>
    <w:rsid w:val="0D330BC5"/>
    <w:rsid w:val="0D4576EC"/>
    <w:rsid w:val="0D514EDE"/>
    <w:rsid w:val="0D702398"/>
    <w:rsid w:val="0D847672"/>
    <w:rsid w:val="0D887163"/>
    <w:rsid w:val="0DA33F9D"/>
    <w:rsid w:val="0DE36DCE"/>
    <w:rsid w:val="0DEF179F"/>
    <w:rsid w:val="0DF6471E"/>
    <w:rsid w:val="0E0C69EA"/>
    <w:rsid w:val="0E5E4367"/>
    <w:rsid w:val="0E8F62CF"/>
    <w:rsid w:val="0EB35566"/>
    <w:rsid w:val="0EFE1FDB"/>
    <w:rsid w:val="0F2A3917"/>
    <w:rsid w:val="0F446675"/>
    <w:rsid w:val="0F470958"/>
    <w:rsid w:val="0F514479"/>
    <w:rsid w:val="0F522C33"/>
    <w:rsid w:val="0F6D759B"/>
    <w:rsid w:val="0F8D5AB3"/>
    <w:rsid w:val="0F9D51F7"/>
    <w:rsid w:val="0FE50970"/>
    <w:rsid w:val="0FFB2FE3"/>
    <w:rsid w:val="10104FB1"/>
    <w:rsid w:val="103C0F91"/>
    <w:rsid w:val="10482BD9"/>
    <w:rsid w:val="10502A85"/>
    <w:rsid w:val="1097590F"/>
    <w:rsid w:val="10A818CA"/>
    <w:rsid w:val="10B14C22"/>
    <w:rsid w:val="10D81379"/>
    <w:rsid w:val="10DE7817"/>
    <w:rsid w:val="10EB67DA"/>
    <w:rsid w:val="10EF74F9"/>
    <w:rsid w:val="10F72801"/>
    <w:rsid w:val="11454DA7"/>
    <w:rsid w:val="115003AA"/>
    <w:rsid w:val="11513D10"/>
    <w:rsid w:val="11715726"/>
    <w:rsid w:val="119041B6"/>
    <w:rsid w:val="11AC170C"/>
    <w:rsid w:val="11E903EC"/>
    <w:rsid w:val="1246139A"/>
    <w:rsid w:val="12782B4E"/>
    <w:rsid w:val="12AA774E"/>
    <w:rsid w:val="12AA7B7B"/>
    <w:rsid w:val="12B65D08"/>
    <w:rsid w:val="12BE7183"/>
    <w:rsid w:val="12DA3851"/>
    <w:rsid w:val="12F66448"/>
    <w:rsid w:val="13547AE7"/>
    <w:rsid w:val="13647353"/>
    <w:rsid w:val="13893603"/>
    <w:rsid w:val="13AF6699"/>
    <w:rsid w:val="13F27F40"/>
    <w:rsid w:val="13FE2D40"/>
    <w:rsid w:val="142E20E6"/>
    <w:rsid w:val="144F02A5"/>
    <w:rsid w:val="14763832"/>
    <w:rsid w:val="14A2003E"/>
    <w:rsid w:val="14B000E9"/>
    <w:rsid w:val="14B372B3"/>
    <w:rsid w:val="14C50C9C"/>
    <w:rsid w:val="14D45BDF"/>
    <w:rsid w:val="14D526FC"/>
    <w:rsid w:val="14D724E8"/>
    <w:rsid w:val="14DE7832"/>
    <w:rsid w:val="150F0169"/>
    <w:rsid w:val="152277AA"/>
    <w:rsid w:val="15303653"/>
    <w:rsid w:val="155C5A04"/>
    <w:rsid w:val="156D49DA"/>
    <w:rsid w:val="156F21AC"/>
    <w:rsid w:val="15890553"/>
    <w:rsid w:val="15C031A6"/>
    <w:rsid w:val="15ED2BC2"/>
    <w:rsid w:val="15FD4466"/>
    <w:rsid w:val="16001656"/>
    <w:rsid w:val="16115C16"/>
    <w:rsid w:val="16842491"/>
    <w:rsid w:val="168C383C"/>
    <w:rsid w:val="16B03286"/>
    <w:rsid w:val="16D0325D"/>
    <w:rsid w:val="16E4035C"/>
    <w:rsid w:val="17246427"/>
    <w:rsid w:val="1750745E"/>
    <w:rsid w:val="17740758"/>
    <w:rsid w:val="179C1DBB"/>
    <w:rsid w:val="17A74689"/>
    <w:rsid w:val="17E37A07"/>
    <w:rsid w:val="17E96B71"/>
    <w:rsid w:val="17EF1EBD"/>
    <w:rsid w:val="182A3B37"/>
    <w:rsid w:val="18475E6C"/>
    <w:rsid w:val="187353C2"/>
    <w:rsid w:val="18A64E8E"/>
    <w:rsid w:val="18D72D4C"/>
    <w:rsid w:val="18D81640"/>
    <w:rsid w:val="18FA564C"/>
    <w:rsid w:val="1909181D"/>
    <w:rsid w:val="19113B8D"/>
    <w:rsid w:val="19144628"/>
    <w:rsid w:val="192452E9"/>
    <w:rsid w:val="192835A8"/>
    <w:rsid w:val="199138FB"/>
    <w:rsid w:val="1996045C"/>
    <w:rsid w:val="19B25567"/>
    <w:rsid w:val="19B47531"/>
    <w:rsid w:val="19EB07BB"/>
    <w:rsid w:val="1A004525"/>
    <w:rsid w:val="1A5959E3"/>
    <w:rsid w:val="1A9A651A"/>
    <w:rsid w:val="1AA84434"/>
    <w:rsid w:val="1AB86655"/>
    <w:rsid w:val="1AE71241"/>
    <w:rsid w:val="1AEA5944"/>
    <w:rsid w:val="1B1A4E43"/>
    <w:rsid w:val="1B7725C5"/>
    <w:rsid w:val="1BB1395D"/>
    <w:rsid w:val="1C221280"/>
    <w:rsid w:val="1C44651E"/>
    <w:rsid w:val="1C795EB4"/>
    <w:rsid w:val="1C902A17"/>
    <w:rsid w:val="1CAC37D5"/>
    <w:rsid w:val="1CB029B0"/>
    <w:rsid w:val="1CB20FBB"/>
    <w:rsid w:val="1CB30D66"/>
    <w:rsid w:val="1CDA2C66"/>
    <w:rsid w:val="1CFD5031"/>
    <w:rsid w:val="1D112A10"/>
    <w:rsid w:val="1D260313"/>
    <w:rsid w:val="1D2E13A9"/>
    <w:rsid w:val="1D434E54"/>
    <w:rsid w:val="1D622A14"/>
    <w:rsid w:val="1E1F535E"/>
    <w:rsid w:val="1E334EC9"/>
    <w:rsid w:val="1E3406D2"/>
    <w:rsid w:val="1E44496A"/>
    <w:rsid w:val="1E472722"/>
    <w:rsid w:val="1E770C1F"/>
    <w:rsid w:val="1F192477"/>
    <w:rsid w:val="1F2B3FDF"/>
    <w:rsid w:val="1F567560"/>
    <w:rsid w:val="1F794481"/>
    <w:rsid w:val="1F85034A"/>
    <w:rsid w:val="1F9003ED"/>
    <w:rsid w:val="1F981F81"/>
    <w:rsid w:val="1FD224BF"/>
    <w:rsid w:val="1FE17C8D"/>
    <w:rsid w:val="1FFC12EA"/>
    <w:rsid w:val="2059498F"/>
    <w:rsid w:val="205E3D53"/>
    <w:rsid w:val="208A7879"/>
    <w:rsid w:val="20D72CF0"/>
    <w:rsid w:val="20E4124D"/>
    <w:rsid w:val="21341AF5"/>
    <w:rsid w:val="215710F1"/>
    <w:rsid w:val="215D7893"/>
    <w:rsid w:val="21610B2C"/>
    <w:rsid w:val="216740A5"/>
    <w:rsid w:val="216E1E94"/>
    <w:rsid w:val="21725BA3"/>
    <w:rsid w:val="21751354"/>
    <w:rsid w:val="219414F1"/>
    <w:rsid w:val="21952B1C"/>
    <w:rsid w:val="21A1039B"/>
    <w:rsid w:val="21B53E47"/>
    <w:rsid w:val="222D04B6"/>
    <w:rsid w:val="22345539"/>
    <w:rsid w:val="2249781A"/>
    <w:rsid w:val="225B1A86"/>
    <w:rsid w:val="226F2A37"/>
    <w:rsid w:val="22857681"/>
    <w:rsid w:val="228C4BA7"/>
    <w:rsid w:val="22B96607"/>
    <w:rsid w:val="22C738DD"/>
    <w:rsid w:val="22D03DCA"/>
    <w:rsid w:val="23067E51"/>
    <w:rsid w:val="234B24D7"/>
    <w:rsid w:val="234B4A63"/>
    <w:rsid w:val="237D6D0D"/>
    <w:rsid w:val="238241FC"/>
    <w:rsid w:val="238C6E29"/>
    <w:rsid w:val="23C245F9"/>
    <w:rsid w:val="23F061A7"/>
    <w:rsid w:val="24172B97"/>
    <w:rsid w:val="242B219E"/>
    <w:rsid w:val="243A4968"/>
    <w:rsid w:val="24504906"/>
    <w:rsid w:val="24656B1D"/>
    <w:rsid w:val="247870A7"/>
    <w:rsid w:val="248D2E59"/>
    <w:rsid w:val="24993C44"/>
    <w:rsid w:val="24A93417"/>
    <w:rsid w:val="24B108F5"/>
    <w:rsid w:val="24EE7D9B"/>
    <w:rsid w:val="24F032B6"/>
    <w:rsid w:val="24F1760F"/>
    <w:rsid w:val="251B66B7"/>
    <w:rsid w:val="254A0D4A"/>
    <w:rsid w:val="256A1DF5"/>
    <w:rsid w:val="25BD32CA"/>
    <w:rsid w:val="26015A04"/>
    <w:rsid w:val="260B2287"/>
    <w:rsid w:val="260D4251"/>
    <w:rsid w:val="26136DDF"/>
    <w:rsid w:val="26216347"/>
    <w:rsid w:val="262B7CE7"/>
    <w:rsid w:val="263A2220"/>
    <w:rsid w:val="264257F4"/>
    <w:rsid w:val="26571970"/>
    <w:rsid w:val="26DD7622"/>
    <w:rsid w:val="26F31699"/>
    <w:rsid w:val="2704701C"/>
    <w:rsid w:val="27146B12"/>
    <w:rsid w:val="272B1635"/>
    <w:rsid w:val="273660A4"/>
    <w:rsid w:val="27442B28"/>
    <w:rsid w:val="274B053B"/>
    <w:rsid w:val="274E101D"/>
    <w:rsid w:val="2755639A"/>
    <w:rsid w:val="27646EFF"/>
    <w:rsid w:val="276644B9"/>
    <w:rsid w:val="27C50143"/>
    <w:rsid w:val="280478D6"/>
    <w:rsid w:val="280B0303"/>
    <w:rsid w:val="280D7C93"/>
    <w:rsid w:val="28130D8F"/>
    <w:rsid w:val="28482154"/>
    <w:rsid w:val="2849353B"/>
    <w:rsid w:val="28697739"/>
    <w:rsid w:val="287A5C34"/>
    <w:rsid w:val="287C493A"/>
    <w:rsid w:val="288D7140"/>
    <w:rsid w:val="289D5F77"/>
    <w:rsid w:val="28E84B02"/>
    <w:rsid w:val="29345F99"/>
    <w:rsid w:val="2958561C"/>
    <w:rsid w:val="295F40BF"/>
    <w:rsid w:val="296E5634"/>
    <w:rsid w:val="298E1069"/>
    <w:rsid w:val="29B743F4"/>
    <w:rsid w:val="29DB38C2"/>
    <w:rsid w:val="2A0E2E4F"/>
    <w:rsid w:val="2A267C24"/>
    <w:rsid w:val="2A925BC8"/>
    <w:rsid w:val="2B201FB0"/>
    <w:rsid w:val="2B412F86"/>
    <w:rsid w:val="2B822FEC"/>
    <w:rsid w:val="2B9045B4"/>
    <w:rsid w:val="2B942819"/>
    <w:rsid w:val="2B9E594C"/>
    <w:rsid w:val="2BA016C4"/>
    <w:rsid w:val="2BA32F62"/>
    <w:rsid w:val="2BDD1995"/>
    <w:rsid w:val="2BE9306B"/>
    <w:rsid w:val="2C056071"/>
    <w:rsid w:val="2C167154"/>
    <w:rsid w:val="2C2470D0"/>
    <w:rsid w:val="2C4B1DB6"/>
    <w:rsid w:val="2C604DE0"/>
    <w:rsid w:val="2C947E05"/>
    <w:rsid w:val="2CC87124"/>
    <w:rsid w:val="2CEF2903"/>
    <w:rsid w:val="2D114B18"/>
    <w:rsid w:val="2D1E1E96"/>
    <w:rsid w:val="2D263E4A"/>
    <w:rsid w:val="2D314F27"/>
    <w:rsid w:val="2D3D72AC"/>
    <w:rsid w:val="2D437679"/>
    <w:rsid w:val="2DA412B3"/>
    <w:rsid w:val="2DB16DE7"/>
    <w:rsid w:val="2DB651CE"/>
    <w:rsid w:val="2DDC2B78"/>
    <w:rsid w:val="2DF16938"/>
    <w:rsid w:val="2DF21F09"/>
    <w:rsid w:val="2EB060C2"/>
    <w:rsid w:val="2EF53AD4"/>
    <w:rsid w:val="2F6A2714"/>
    <w:rsid w:val="2F6F43D4"/>
    <w:rsid w:val="2F794705"/>
    <w:rsid w:val="2F9037FD"/>
    <w:rsid w:val="2FD1218D"/>
    <w:rsid w:val="2FFB336C"/>
    <w:rsid w:val="30161054"/>
    <w:rsid w:val="30186D9C"/>
    <w:rsid w:val="301A3D42"/>
    <w:rsid w:val="302E235F"/>
    <w:rsid w:val="30354E13"/>
    <w:rsid w:val="304052CC"/>
    <w:rsid w:val="30613155"/>
    <w:rsid w:val="307D2E82"/>
    <w:rsid w:val="30A13F14"/>
    <w:rsid w:val="30F229C1"/>
    <w:rsid w:val="310D4550"/>
    <w:rsid w:val="31572824"/>
    <w:rsid w:val="315C242E"/>
    <w:rsid w:val="316D2ED6"/>
    <w:rsid w:val="31772EC7"/>
    <w:rsid w:val="319545BC"/>
    <w:rsid w:val="320255B5"/>
    <w:rsid w:val="320613FD"/>
    <w:rsid w:val="32246E49"/>
    <w:rsid w:val="322B5139"/>
    <w:rsid w:val="32385CDE"/>
    <w:rsid w:val="324250A0"/>
    <w:rsid w:val="325F1F18"/>
    <w:rsid w:val="328038B2"/>
    <w:rsid w:val="329978C5"/>
    <w:rsid w:val="32AB5145"/>
    <w:rsid w:val="33414058"/>
    <w:rsid w:val="336A580A"/>
    <w:rsid w:val="337304A2"/>
    <w:rsid w:val="33816ABA"/>
    <w:rsid w:val="33E07083"/>
    <w:rsid w:val="34321327"/>
    <w:rsid w:val="34540430"/>
    <w:rsid w:val="34674CC0"/>
    <w:rsid w:val="347B7C2F"/>
    <w:rsid w:val="34886F38"/>
    <w:rsid w:val="34DF325D"/>
    <w:rsid w:val="354215AC"/>
    <w:rsid w:val="35503AA9"/>
    <w:rsid w:val="35794D6E"/>
    <w:rsid w:val="35895DF1"/>
    <w:rsid w:val="35C10660"/>
    <w:rsid w:val="35C6441D"/>
    <w:rsid w:val="35DD4F6A"/>
    <w:rsid w:val="35EB44FB"/>
    <w:rsid w:val="35EB5C31"/>
    <w:rsid w:val="35F5093F"/>
    <w:rsid w:val="36112DBB"/>
    <w:rsid w:val="362372A9"/>
    <w:rsid w:val="36267280"/>
    <w:rsid w:val="365F13B3"/>
    <w:rsid w:val="367D59D6"/>
    <w:rsid w:val="36D94701"/>
    <w:rsid w:val="36DF3B58"/>
    <w:rsid w:val="36E7289C"/>
    <w:rsid w:val="37065533"/>
    <w:rsid w:val="371A4544"/>
    <w:rsid w:val="37290182"/>
    <w:rsid w:val="37335AE2"/>
    <w:rsid w:val="3736300C"/>
    <w:rsid w:val="37410B90"/>
    <w:rsid w:val="37596521"/>
    <w:rsid w:val="37617088"/>
    <w:rsid w:val="37713BC4"/>
    <w:rsid w:val="377242F3"/>
    <w:rsid w:val="37A12A4B"/>
    <w:rsid w:val="381256F7"/>
    <w:rsid w:val="38222B27"/>
    <w:rsid w:val="38327B47"/>
    <w:rsid w:val="383C2D6D"/>
    <w:rsid w:val="38415FDC"/>
    <w:rsid w:val="38AC5D3F"/>
    <w:rsid w:val="38B34D7D"/>
    <w:rsid w:val="38CB6A70"/>
    <w:rsid w:val="38DD1907"/>
    <w:rsid w:val="38F86130"/>
    <w:rsid w:val="38FD63A7"/>
    <w:rsid w:val="390D59D2"/>
    <w:rsid w:val="3914549F"/>
    <w:rsid w:val="392A6A70"/>
    <w:rsid w:val="395A1104"/>
    <w:rsid w:val="396F71BE"/>
    <w:rsid w:val="3986014B"/>
    <w:rsid w:val="399C026E"/>
    <w:rsid w:val="39AE76A2"/>
    <w:rsid w:val="39DF4D0F"/>
    <w:rsid w:val="39E93C89"/>
    <w:rsid w:val="3A0B183C"/>
    <w:rsid w:val="3A2B5DEB"/>
    <w:rsid w:val="3A59352C"/>
    <w:rsid w:val="3A5F675A"/>
    <w:rsid w:val="3A826346"/>
    <w:rsid w:val="3AA22992"/>
    <w:rsid w:val="3ACD11CC"/>
    <w:rsid w:val="3AF85078"/>
    <w:rsid w:val="3AFF3813"/>
    <w:rsid w:val="3B021A53"/>
    <w:rsid w:val="3B143D1F"/>
    <w:rsid w:val="3B230BE3"/>
    <w:rsid w:val="3B40257B"/>
    <w:rsid w:val="3B607444"/>
    <w:rsid w:val="3BC10298"/>
    <w:rsid w:val="3BE348BC"/>
    <w:rsid w:val="3BF456A1"/>
    <w:rsid w:val="3C0374F9"/>
    <w:rsid w:val="3C124EF9"/>
    <w:rsid w:val="3C1A2DCC"/>
    <w:rsid w:val="3C243C4B"/>
    <w:rsid w:val="3C2E0626"/>
    <w:rsid w:val="3C595E76"/>
    <w:rsid w:val="3C830972"/>
    <w:rsid w:val="3C901337"/>
    <w:rsid w:val="3C9454D6"/>
    <w:rsid w:val="3CB10018"/>
    <w:rsid w:val="3D087785"/>
    <w:rsid w:val="3D0C4E0B"/>
    <w:rsid w:val="3D0D46DF"/>
    <w:rsid w:val="3D31661F"/>
    <w:rsid w:val="3D3B749E"/>
    <w:rsid w:val="3D7106DB"/>
    <w:rsid w:val="3D7220D4"/>
    <w:rsid w:val="3D736C38"/>
    <w:rsid w:val="3DE71088"/>
    <w:rsid w:val="3DEB108B"/>
    <w:rsid w:val="3E08391A"/>
    <w:rsid w:val="3E32264F"/>
    <w:rsid w:val="3E3A1C98"/>
    <w:rsid w:val="3E5E42DA"/>
    <w:rsid w:val="3E6303C6"/>
    <w:rsid w:val="3E832EAB"/>
    <w:rsid w:val="3EA95C02"/>
    <w:rsid w:val="3ECF4FFB"/>
    <w:rsid w:val="3EF15A33"/>
    <w:rsid w:val="3EFD5266"/>
    <w:rsid w:val="3F3D5999"/>
    <w:rsid w:val="3F513E29"/>
    <w:rsid w:val="3F52691A"/>
    <w:rsid w:val="3F5D5DEE"/>
    <w:rsid w:val="3F7D6280"/>
    <w:rsid w:val="3F7F4E0E"/>
    <w:rsid w:val="3F9B4A41"/>
    <w:rsid w:val="3FB3156E"/>
    <w:rsid w:val="3FB97D24"/>
    <w:rsid w:val="403F249A"/>
    <w:rsid w:val="404A6ABB"/>
    <w:rsid w:val="408028ED"/>
    <w:rsid w:val="40965168"/>
    <w:rsid w:val="40A0583F"/>
    <w:rsid w:val="40CB73F5"/>
    <w:rsid w:val="40D62C1A"/>
    <w:rsid w:val="40F04585"/>
    <w:rsid w:val="40F7192E"/>
    <w:rsid w:val="40FA6943"/>
    <w:rsid w:val="40FD1F4B"/>
    <w:rsid w:val="40FE4A6B"/>
    <w:rsid w:val="411738C6"/>
    <w:rsid w:val="414B5106"/>
    <w:rsid w:val="41560139"/>
    <w:rsid w:val="41563620"/>
    <w:rsid w:val="416074D3"/>
    <w:rsid w:val="4198071E"/>
    <w:rsid w:val="41B94E35"/>
    <w:rsid w:val="41F53C1B"/>
    <w:rsid w:val="421476A8"/>
    <w:rsid w:val="427540B4"/>
    <w:rsid w:val="42961866"/>
    <w:rsid w:val="429B6809"/>
    <w:rsid w:val="42B75819"/>
    <w:rsid w:val="42DF3D35"/>
    <w:rsid w:val="42F32234"/>
    <w:rsid w:val="42FF417C"/>
    <w:rsid w:val="431542ED"/>
    <w:rsid w:val="432C02CB"/>
    <w:rsid w:val="433B3E69"/>
    <w:rsid w:val="433E57A6"/>
    <w:rsid w:val="4404683C"/>
    <w:rsid w:val="442D7710"/>
    <w:rsid w:val="44344B1E"/>
    <w:rsid w:val="445D5F4C"/>
    <w:rsid w:val="44615A3C"/>
    <w:rsid w:val="447139B8"/>
    <w:rsid w:val="447F4114"/>
    <w:rsid w:val="44820234"/>
    <w:rsid w:val="4489367B"/>
    <w:rsid w:val="448D47AA"/>
    <w:rsid w:val="45012D7B"/>
    <w:rsid w:val="45066E76"/>
    <w:rsid w:val="4514617A"/>
    <w:rsid w:val="452D7CD3"/>
    <w:rsid w:val="45383C32"/>
    <w:rsid w:val="453C3E1D"/>
    <w:rsid w:val="456A16D4"/>
    <w:rsid w:val="457E0FEE"/>
    <w:rsid w:val="45A04342"/>
    <w:rsid w:val="45B516D4"/>
    <w:rsid w:val="45E605DF"/>
    <w:rsid w:val="45FC3FCC"/>
    <w:rsid w:val="460E4441"/>
    <w:rsid w:val="46111FB6"/>
    <w:rsid w:val="46117ADE"/>
    <w:rsid w:val="461B4844"/>
    <w:rsid w:val="461F4E05"/>
    <w:rsid w:val="4646598F"/>
    <w:rsid w:val="464C4E37"/>
    <w:rsid w:val="46696D61"/>
    <w:rsid w:val="466C2E0E"/>
    <w:rsid w:val="466C7F05"/>
    <w:rsid w:val="466E61EE"/>
    <w:rsid w:val="46961365"/>
    <w:rsid w:val="46E821A8"/>
    <w:rsid w:val="46ED35D0"/>
    <w:rsid w:val="475B0CF7"/>
    <w:rsid w:val="475B0EFB"/>
    <w:rsid w:val="478A5D4D"/>
    <w:rsid w:val="479733DA"/>
    <w:rsid w:val="479F6D87"/>
    <w:rsid w:val="47B440D5"/>
    <w:rsid w:val="47B642F1"/>
    <w:rsid w:val="47DE747B"/>
    <w:rsid w:val="47F866B8"/>
    <w:rsid w:val="47FE44DC"/>
    <w:rsid w:val="482524F1"/>
    <w:rsid w:val="488356C1"/>
    <w:rsid w:val="489B726F"/>
    <w:rsid w:val="48A12453"/>
    <w:rsid w:val="48A5674A"/>
    <w:rsid w:val="48BC2639"/>
    <w:rsid w:val="48EF02B1"/>
    <w:rsid w:val="48F848DA"/>
    <w:rsid w:val="49284BAB"/>
    <w:rsid w:val="49284D7B"/>
    <w:rsid w:val="493A1619"/>
    <w:rsid w:val="493D4DDC"/>
    <w:rsid w:val="49494CF1"/>
    <w:rsid w:val="49550A2C"/>
    <w:rsid w:val="49581D9D"/>
    <w:rsid w:val="495F1AED"/>
    <w:rsid w:val="49CA0BFE"/>
    <w:rsid w:val="49F47EE1"/>
    <w:rsid w:val="4A5B3A05"/>
    <w:rsid w:val="4A5C1DCD"/>
    <w:rsid w:val="4A5D1633"/>
    <w:rsid w:val="4A8F7211"/>
    <w:rsid w:val="4AA12C81"/>
    <w:rsid w:val="4AAA3C0B"/>
    <w:rsid w:val="4ABD7744"/>
    <w:rsid w:val="4AC05487"/>
    <w:rsid w:val="4AE72FA0"/>
    <w:rsid w:val="4AFF27FC"/>
    <w:rsid w:val="4B0435C5"/>
    <w:rsid w:val="4B242C35"/>
    <w:rsid w:val="4B505A38"/>
    <w:rsid w:val="4B6127C6"/>
    <w:rsid w:val="4B903F22"/>
    <w:rsid w:val="4BD77819"/>
    <w:rsid w:val="4BF10339"/>
    <w:rsid w:val="4C567A2E"/>
    <w:rsid w:val="4C7C707E"/>
    <w:rsid w:val="4C991AEB"/>
    <w:rsid w:val="4C9D5A7F"/>
    <w:rsid w:val="4CCA6625"/>
    <w:rsid w:val="4CDA3265"/>
    <w:rsid w:val="4CF803E4"/>
    <w:rsid w:val="4D1D65AA"/>
    <w:rsid w:val="4D3C7046"/>
    <w:rsid w:val="4D4C582D"/>
    <w:rsid w:val="4D9F3A2A"/>
    <w:rsid w:val="4DD87522"/>
    <w:rsid w:val="4E5656C4"/>
    <w:rsid w:val="4E5A533C"/>
    <w:rsid w:val="4E9A260D"/>
    <w:rsid w:val="4E9F5714"/>
    <w:rsid w:val="4EE04374"/>
    <w:rsid w:val="4EF63225"/>
    <w:rsid w:val="4F043B94"/>
    <w:rsid w:val="4F1B773F"/>
    <w:rsid w:val="4F1D285E"/>
    <w:rsid w:val="4F5D5052"/>
    <w:rsid w:val="4FA43673"/>
    <w:rsid w:val="4FBB1AD8"/>
    <w:rsid w:val="4FD91453"/>
    <w:rsid w:val="501E2A33"/>
    <w:rsid w:val="501F469B"/>
    <w:rsid w:val="503A2F68"/>
    <w:rsid w:val="50515082"/>
    <w:rsid w:val="50697173"/>
    <w:rsid w:val="507E4285"/>
    <w:rsid w:val="508C3302"/>
    <w:rsid w:val="50F17CB4"/>
    <w:rsid w:val="512536B4"/>
    <w:rsid w:val="513C71F8"/>
    <w:rsid w:val="51596A3A"/>
    <w:rsid w:val="517B6AF1"/>
    <w:rsid w:val="51AB6549"/>
    <w:rsid w:val="51F83758"/>
    <w:rsid w:val="52410BA1"/>
    <w:rsid w:val="52485F6F"/>
    <w:rsid w:val="524E01CA"/>
    <w:rsid w:val="52614E59"/>
    <w:rsid w:val="52656CCA"/>
    <w:rsid w:val="52696120"/>
    <w:rsid w:val="5271692C"/>
    <w:rsid w:val="529F76BC"/>
    <w:rsid w:val="52D91CA4"/>
    <w:rsid w:val="53455370"/>
    <w:rsid w:val="53597BE4"/>
    <w:rsid w:val="536C5F9D"/>
    <w:rsid w:val="53795458"/>
    <w:rsid w:val="538979FB"/>
    <w:rsid w:val="538D5534"/>
    <w:rsid w:val="539A0886"/>
    <w:rsid w:val="53B06B6C"/>
    <w:rsid w:val="53B34C08"/>
    <w:rsid w:val="53FC12DE"/>
    <w:rsid w:val="53FF0DCE"/>
    <w:rsid w:val="54345105"/>
    <w:rsid w:val="543D36A4"/>
    <w:rsid w:val="544F2EE3"/>
    <w:rsid w:val="54506775"/>
    <w:rsid w:val="545919FB"/>
    <w:rsid w:val="545F186C"/>
    <w:rsid w:val="546B7FB1"/>
    <w:rsid w:val="54B15361"/>
    <w:rsid w:val="54BE47E5"/>
    <w:rsid w:val="54F97C76"/>
    <w:rsid w:val="54FE2E33"/>
    <w:rsid w:val="554D16B4"/>
    <w:rsid w:val="55791282"/>
    <w:rsid w:val="55A016B5"/>
    <w:rsid w:val="55AE4859"/>
    <w:rsid w:val="55CC43D3"/>
    <w:rsid w:val="55E65231"/>
    <w:rsid w:val="563A3B84"/>
    <w:rsid w:val="56890E23"/>
    <w:rsid w:val="56950A6C"/>
    <w:rsid w:val="569F23F4"/>
    <w:rsid w:val="56BA2859"/>
    <w:rsid w:val="56C04BF5"/>
    <w:rsid w:val="56DD1B97"/>
    <w:rsid w:val="56FF0CBE"/>
    <w:rsid w:val="570B31FB"/>
    <w:rsid w:val="57176F71"/>
    <w:rsid w:val="572B1EDA"/>
    <w:rsid w:val="57637893"/>
    <w:rsid w:val="576F61AE"/>
    <w:rsid w:val="577B066E"/>
    <w:rsid w:val="57860817"/>
    <w:rsid w:val="579E2DC8"/>
    <w:rsid w:val="57B94299"/>
    <w:rsid w:val="57C2283E"/>
    <w:rsid w:val="57E427B4"/>
    <w:rsid w:val="57F06607"/>
    <w:rsid w:val="57FA16B6"/>
    <w:rsid w:val="584E5E80"/>
    <w:rsid w:val="586C4558"/>
    <w:rsid w:val="58AD729C"/>
    <w:rsid w:val="590D36DC"/>
    <w:rsid w:val="590E6B79"/>
    <w:rsid w:val="59292BCD"/>
    <w:rsid w:val="594A6647"/>
    <w:rsid w:val="59797F10"/>
    <w:rsid w:val="598B4B6C"/>
    <w:rsid w:val="598D67CD"/>
    <w:rsid w:val="59A835B3"/>
    <w:rsid w:val="59CE6DD2"/>
    <w:rsid w:val="59E00D5A"/>
    <w:rsid w:val="59E27D41"/>
    <w:rsid w:val="59EA441B"/>
    <w:rsid w:val="5A174906"/>
    <w:rsid w:val="5A1B5A0D"/>
    <w:rsid w:val="5A1F5DD8"/>
    <w:rsid w:val="5A2A6DE6"/>
    <w:rsid w:val="5A41136B"/>
    <w:rsid w:val="5A526A8C"/>
    <w:rsid w:val="5A655703"/>
    <w:rsid w:val="5A8752D2"/>
    <w:rsid w:val="5A981526"/>
    <w:rsid w:val="5A9E4AB1"/>
    <w:rsid w:val="5AAB7EB6"/>
    <w:rsid w:val="5ABF3065"/>
    <w:rsid w:val="5B196D73"/>
    <w:rsid w:val="5B3B020A"/>
    <w:rsid w:val="5B3F448C"/>
    <w:rsid w:val="5B6854AA"/>
    <w:rsid w:val="5B6A1223"/>
    <w:rsid w:val="5BD75DD2"/>
    <w:rsid w:val="5C332483"/>
    <w:rsid w:val="5C363841"/>
    <w:rsid w:val="5C6A5252"/>
    <w:rsid w:val="5CE11604"/>
    <w:rsid w:val="5CED0271"/>
    <w:rsid w:val="5CFE4BFC"/>
    <w:rsid w:val="5D3C6CF9"/>
    <w:rsid w:val="5D4A7271"/>
    <w:rsid w:val="5D5C4B9B"/>
    <w:rsid w:val="5D731EAE"/>
    <w:rsid w:val="5D886427"/>
    <w:rsid w:val="5D916F3A"/>
    <w:rsid w:val="5D951D82"/>
    <w:rsid w:val="5DA8033B"/>
    <w:rsid w:val="5DB67792"/>
    <w:rsid w:val="5DBE5856"/>
    <w:rsid w:val="5DCF43B4"/>
    <w:rsid w:val="5DDE6538"/>
    <w:rsid w:val="5DEF61CF"/>
    <w:rsid w:val="5E441E95"/>
    <w:rsid w:val="5E451AD3"/>
    <w:rsid w:val="5E5018B1"/>
    <w:rsid w:val="5E560431"/>
    <w:rsid w:val="5E9C2B16"/>
    <w:rsid w:val="5EC276AE"/>
    <w:rsid w:val="5ED52E57"/>
    <w:rsid w:val="5F1854B6"/>
    <w:rsid w:val="5F29272C"/>
    <w:rsid w:val="5F7D1F65"/>
    <w:rsid w:val="5FB05672"/>
    <w:rsid w:val="5FCF5AF8"/>
    <w:rsid w:val="5FDD20D3"/>
    <w:rsid w:val="60187C01"/>
    <w:rsid w:val="602D20B7"/>
    <w:rsid w:val="603C0CB4"/>
    <w:rsid w:val="607F1EF0"/>
    <w:rsid w:val="60A2320D"/>
    <w:rsid w:val="60B6313A"/>
    <w:rsid w:val="60C43183"/>
    <w:rsid w:val="61171E55"/>
    <w:rsid w:val="61C62F2B"/>
    <w:rsid w:val="61EE2DAD"/>
    <w:rsid w:val="622224A3"/>
    <w:rsid w:val="624A76B8"/>
    <w:rsid w:val="625E7E42"/>
    <w:rsid w:val="6263077A"/>
    <w:rsid w:val="6268054C"/>
    <w:rsid w:val="62702702"/>
    <w:rsid w:val="62BE2A98"/>
    <w:rsid w:val="62CB1A6A"/>
    <w:rsid w:val="62F87349"/>
    <w:rsid w:val="630B78CD"/>
    <w:rsid w:val="631A76D5"/>
    <w:rsid w:val="631B72A6"/>
    <w:rsid w:val="6333382C"/>
    <w:rsid w:val="636A5CA2"/>
    <w:rsid w:val="637075F2"/>
    <w:rsid w:val="63B632F9"/>
    <w:rsid w:val="63C9440E"/>
    <w:rsid w:val="63D4270A"/>
    <w:rsid w:val="63F3110A"/>
    <w:rsid w:val="640E5323"/>
    <w:rsid w:val="642108EC"/>
    <w:rsid w:val="642B7906"/>
    <w:rsid w:val="64680661"/>
    <w:rsid w:val="647E66F8"/>
    <w:rsid w:val="651B2EF1"/>
    <w:rsid w:val="65212504"/>
    <w:rsid w:val="65231C8B"/>
    <w:rsid w:val="658E1FB1"/>
    <w:rsid w:val="66154481"/>
    <w:rsid w:val="66291CDA"/>
    <w:rsid w:val="66430FEE"/>
    <w:rsid w:val="665B008A"/>
    <w:rsid w:val="667B0788"/>
    <w:rsid w:val="669A4D39"/>
    <w:rsid w:val="669B6734"/>
    <w:rsid w:val="669C24AC"/>
    <w:rsid w:val="66B20B9A"/>
    <w:rsid w:val="66B65916"/>
    <w:rsid w:val="66CC3638"/>
    <w:rsid w:val="66D44481"/>
    <w:rsid w:val="66D82AF9"/>
    <w:rsid w:val="66E51531"/>
    <w:rsid w:val="66F61F57"/>
    <w:rsid w:val="66F70BD3"/>
    <w:rsid w:val="67163DF0"/>
    <w:rsid w:val="675903D1"/>
    <w:rsid w:val="675B5F57"/>
    <w:rsid w:val="67695EC5"/>
    <w:rsid w:val="6773145F"/>
    <w:rsid w:val="67817040"/>
    <w:rsid w:val="67890C82"/>
    <w:rsid w:val="67891D37"/>
    <w:rsid w:val="67D7457D"/>
    <w:rsid w:val="67E10367"/>
    <w:rsid w:val="67E30ADE"/>
    <w:rsid w:val="67F51E74"/>
    <w:rsid w:val="68484F5C"/>
    <w:rsid w:val="68753D8B"/>
    <w:rsid w:val="68796CC8"/>
    <w:rsid w:val="68902D8B"/>
    <w:rsid w:val="68906593"/>
    <w:rsid w:val="68A85193"/>
    <w:rsid w:val="68AF1863"/>
    <w:rsid w:val="68BE495C"/>
    <w:rsid w:val="68BE7430"/>
    <w:rsid w:val="68CF4A19"/>
    <w:rsid w:val="68F675D9"/>
    <w:rsid w:val="69132EFA"/>
    <w:rsid w:val="69140C1A"/>
    <w:rsid w:val="6930567F"/>
    <w:rsid w:val="694F3806"/>
    <w:rsid w:val="69670B4F"/>
    <w:rsid w:val="6981746A"/>
    <w:rsid w:val="69DE7453"/>
    <w:rsid w:val="69F364C7"/>
    <w:rsid w:val="6A3F1ACC"/>
    <w:rsid w:val="6A3F61D5"/>
    <w:rsid w:val="6A531546"/>
    <w:rsid w:val="6A5635C3"/>
    <w:rsid w:val="6A7F7CD0"/>
    <w:rsid w:val="6A974DF1"/>
    <w:rsid w:val="6A9E1A24"/>
    <w:rsid w:val="6A9F7613"/>
    <w:rsid w:val="6B2B4676"/>
    <w:rsid w:val="6B642D85"/>
    <w:rsid w:val="6B6712DB"/>
    <w:rsid w:val="6B7B0F4B"/>
    <w:rsid w:val="6B7B2FD8"/>
    <w:rsid w:val="6B805757"/>
    <w:rsid w:val="6B916358"/>
    <w:rsid w:val="6BA27AD9"/>
    <w:rsid w:val="6BC84341"/>
    <w:rsid w:val="6BD174E8"/>
    <w:rsid w:val="6BEC0A02"/>
    <w:rsid w:val="6BF0237D"/>
    <w:rsid w:val="6C0E6332"/>
    <w:rsid w:val="6C120112"/>
    <w:rsid w:val="6C247BE7"/>
    <w:rsid w:val="6C3B331D"/>
    <w:rsid w:val="6C5F3A2C"/>
    <w:rsid w:val="6C9210BF"/>
    <w:rsid w:val="6CB8100D"/>
    <w:rsid w:val="6CC5069E"/>
    <w:rsid w:val="6CEF757B"/>
    <w:rsid w:val="6D0320A5"/>
    <w:rsid w:val="6D102E0E"/>
    <w:rsid w:val="6D6F26C8"/>
    <w:rsid w:val="6D754BC8"/>
    <w:rsid w:val="6D7777CF"/>
    <w:rsid w:val="6D88378A"/>
    <w:rsid w:val="6D8F2DF3"/>
    <w:rsid w:val="6E1A60AC"/>
    <w:rsid w:val="6E270660"/>
    <w:rsid w:val="6E29610C"/>
    <w:rsid w:val="6E7A229A"/>
    <w:rsid w:val="6EB44A35"/>
    <w:rsid w:val="6ECE24CC"/>
    <w:rsid w:val="6EE3336E"/>
    <w:rsid w:val="6EE84355"/>
    <w:rsid w:val="6EF530A1"/>
    <w:rsid w:val="6F0F2119"/>
    <w:rsid w:val="6F0F4163"/>
    <w:rsid w:val="6F2B7D90"/>
    <w:rsid w:val="6F6F075E"/>
    <w:rsid w:val="6F8B2D9C"/>
    <w:rsid w:val="6FAC7C04"/>
    <w:rsid w:val="6FB83782"/>
    <w:rsid w:val="6FF15BC1"/>
    <w:rsid w:val="701A2BE2"/>
    <w:rsid w:val="702E0619"/>
    <w:rsid w:val="7073487B"/>
    <w:rsid w:val="7085404E"/>
    <w:rsid w:val="70912956"/>
    <w:rsid w:val="7094734E"/>
    <w:rsid w:val="70A33376"/>
    <w:rsid w:val="70F074A0"/>
    <w:rsid w:val="71216FC4"/>
    <w:rsid w:val="717F63BF"/>
    <w:rsid w:val="71973F71"/>
    <w:rsid w:val="719840C8"/>
    <w:rsid w:val="71A96609"/>
    <w:rsid w:val="71B13679"/>
    <w:rsid w:val="71B217C0"/>
    <w:rsid w:val="71BB412E"/>
    <w:rsid w:val="72084E9A"/>
    <w:rsid w:val="722C3326"/>
    <w:rsid w:val="72C40DC1"/>
    <w:rsid w:val="72E074D7"/>
    <w:rsid w:val="734B1C86"/>
    <w:rsid w:val="7371658F"/>
    <w:rsid w:val="7386251A"/>
    <w:rsid w:val="739720BC"/>
    <w:rsid w:val="73E80E01"/>
    <w:rsid w:val="73EC1B73"/>
    <w:rsid w:val="73FD09D7"/>
    <w:rsid w:val="741020C4"/>
    <w:rsid w:val="74411A23"/>
    <w:rsid w:val="746C7962"/>
    <w:rsid w:val="747A1A07"/>
    <w:rsid w:val="74C008A0"/>
    <w:rsid w:val="74E10066"/>
    <w:rsid w:val="74E233F2"/>
    <w:rsid w:val="74E66AC5"/>
    <w:rsid w:val="752D668A"/>
    <w:rsid w:val="755B52CC"/>
    <w:rsid w:val="75696008"/>
    <w:rsid w:val="756A6595"/>
    <w:rsid w:val="75826303"/>
    <w:rsid w:val="75C650AA"/>
    <w:rsid w:val="75DA6B4D"/>
    <w:rsid w:val="75EE78A6"/>
    <w:rsid w:val="75FA1C21"/>
    <w:rsid w:val="7619757A"/>
    <w:rsid w:val="76277F7E"/>
    <w:rsid w:val="76326ABA"/>
    <w:rsid w:val="763C4150"/>
    <w:rsid w:val="765870B4"/>
    <w:rsid w:val="7663221C"/>
    <w:rsid w:val="766F41F5"/>
    <w:rsid w:val="76A2766B"/>
    <w:rsid w:val="76FD0F9A"/>
    <w:rsid w:val="772A2B29"/>
    <w:rsid w:val="77587256"/>
    <w:rsid w:val="77741277"/>
    <w:rsid w:val="77787C36"/>
    <w:rsid w:val="77816F8B"/>
    <w:rsid w:val="7783749C"/>
    <w:rsid w:val="77CF00F7"/>
    <w:rsid w:val="77F219EF"/>
    <w:rsid w:val="77FE7670"/>
    <w:rsid w:val="783008D5"/>
    <w:rsid w:val="788D43B2"/>
    <w:rsid w:val="788D57B0"/>
    <w:rsid w:val="7899684C"/>
    <w:rsid w:val="78B36A32"/>
    <w:rsid w:val="790440A0"/>
    <w:rsid w:val="79224A93"/>
    <w:rsid w:val="79384200"/>
    <w:rsid w:val="793848A7"/>
    <w:rsid w:val="794A0D66"/>
    <w:rsid w:val="79F07188"/>
    <w:rsid w:val="7A4F3D27"/>
    <w:rsid w:val="7A523156"/>
    <w:rsid w:val="7A5D6E9B"/>
    <w:rsid w:val="7A790F49"/>
    <w:rsid w:val="7A810F75"/>
    <w:rsid w:val="7AB82578"/>
    <w:rsid w:val="7AC73B44"/>
    <w:rsid w:val="7B0C51F3"/>
    <w:rsid w:val="7B8F2F29"/>
    <w:rsid w:val="7B9B28DB"/>
    <w:rsid w:val="7BAB6FC2"/>
    <w:rsid w:val="7BDA3403"/>
    <w:rsid w:val="7BDD1145"/>
    <w:rsid w:val="7BDF4EBD"/>
    <w:rsid w:val="7BE26E03"/>
    <w:rsid w:val="7BEA7EAB"/>
    <w:rsid w:val="7C162779"/>
    <w:rsid w:val="7C2B1EB0"/>
    <w:rsid w:val="7C2E7BFB"/>
    <w:rsid w:val="7C2F011F"/>
    <w:rsid w:val="7C895E39"/>
    <w:rsid w:val="7CC5404C"/>
    <w:rsid w:val="7CCE08B5"/>
    <w:rsid w:val="7CCE1350"/>
    <w:rsid w:val="7CD2057E"/>
    <w:rsid w:val="7D0809C3"/>
    <w:rsid w:val="7D510D55"/>
    <w:rsid w:val="7D5A7A3D"/>
    <w:rsid w:val="7D72208A"/>
    <w:rsid w:val="7D84001B"/>
    <w:rsid w:val="7DD8488D"/>
    <w:rsid w:val="7DDA351E"/>
    <w:rsid w:val="7DEF6192"/>
    <w:rsid w:val="7E040C0B"/>
    <w:rsid w:val="7E41373B"/>
    <w:rsid w:val="7E5F1AEE"/>
    <w:rsid w:val="7E966B85"/>
    <w:rsid w:val="7EC30AC6"/>
    <w:rsid w:val="7F0B2150"/>
    <w:rsid w:val="7F0D03FB"/>
    <w:rsid w:val="7F1E7AAB"/>
    <w:rsid w:val="7F231565"/>
    <w:rsid w:val="7F413799"/>
    <w:rsid w:val="7F430023"/>
    <w:rsid w:val="7F502932"/>
    <w:rsid w:val="7F565496"/>
    <w:rsid w:val="7F692D2D"/>
    <w:rsid w:val="7F866268"/>
    <w:rsid w:val="7FAC155A"/>
    <w:rsid w:val="7FEC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6">
    <w:name w:val="heading 6"/>
    <w:basedOn w:val="1"/>
    <w:next w:val="7"/>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rPr>
  </w:style>
  <w:style w:type="paragraph" w:styleId="7">
    <w:name w:val="Normal Indent"/>
    <w:basedOn w:val="1"/>
    <w:unhideWhenUsed/>
    <w:qFormat/>
    <w:uiPriority w:val="99"/>
    <w:pPr>
      <w:ind w:firstLine="420" w:firstLineChars="200"/>
    </w:pPr>
  </w:style>
  <w:style w:type="paragraph" w:styleId="8">
    <w:name w:val="Document Map"/>
    <w:basedOn w:val="1"/>
    <w:link w:val="44"/>
    <w:qFormat/>
    <w:uiPriority w:val="0"/>
    <w:rPr>
      <w:rFonts w:ascii="宋体"/>
      <w:sz w:val="18"/>
      <w:szCs w:val="18"/>
    </w:rPr>
  </w:style>
  <w:style w:type="paragraph" w:styleId="9">
    <w:name w:val="annotation text"/>
    <w:basedOn w:val="1"/>
    <w:link w:val="33"/>
    <w:qFormat/>
    <w:uiPriority w:val="0"/>
    <w:pPr>
      <w:jc w:val="left"/>
    </w:pPr>
  </w:style>
  <w:style w:type="paragraph" w:styleId="10">
    <w:name w:val="Body Text"/>
    <w:basedOn w:val="1"/>
    <w:next w:val="1"/>
    <w:qFormat/>
    <w:uiPriority w:val="99"/>
    <w:pPr>
      <w:spacing w:after="120"/>
    </w:pPr>
    <w:rPr>
      <w:rFonts w:ascii="Times New Roman" w:hAnsi="Times New Roman"/>
      <w:kern w:val="0"/>
      <w:sz w:val="24"/>
    </w:rPr>
  </w:style>
  <w:style w:type="paragraph" w:styleId="11">
    <w:name w:val="Body Text Indent"/>
    <w:basedOn w:val="1"/>
    <w:qFormat/>
    <w:uiPriority w:val="0"/>
    <w:pPr>
      <w:spacing w:after="120"/>
      <w:ind w:left="420" w:leftChars="200"/>
    </w:pPr>
    <w:rPr>
      <w:rFonts w:ascii="Times New Roman"/>
    </w:rPr>
  </w:style>
  <w:style w:type="paragraph" w:styleId="12">
    <w:name w:val="Block Text"/>
    <w:basedOn w:val="1"/>
    <w:qFormat/>
    <w:uiPriority w:val="0"/>
    <w:pPr>
      <w:spacing w:after="120"/>
      <w:ind w:left="1440" w:leftChars="700" w:right="1440" w:rightChars="700"/>
      <w:jc w:val="left"/>
    </w:pPr>
    <w:rPr>
      <w:szCs w:val="22"/>
    </w:rPr>
  </w:style>
  <w:style w:type="paragraph" w:styleId="13">
    <w:name w:val="Balloon Text"/>
    <w:basedOn w:val="1"/>
    <w:link w:val="34"/>
    <w:qFormat/>
    <w:uiPriority w:val="0"/>
    <w:rPr>
      <w:sz w:val="18"/>
      <w:szCs w:val="18"/>
    </w:rPr>
  </w:style>
  <w:style w:type="paragraph" w:styleId="14">
    <w:name w:val="footer"/>
    <w:basedOn w:val="1"/>
    <w:link w:val="35"/>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jc w:val="left"/>
    </w:pPr>
    <w:rPr>
      <w:kern w:val="0"/>
      <w:sz w:val="24"/>
    </w:rPr>
  </w:style>
  <w:style w:type="paragraph" w:styleId="17">
    <w:name w:val="annotation subject"/>
    <w:basedOn w:val="9"/>
    <w:next w:val="9"/>
    <w:link w:val="37"/>
    <w:qFormat/>
    <w:uiPriority w:val="0"/>
    <w:rPr>
      <w:b/>
      <w:bCs/>
    </w:rPr>
  </w:style>
  <w:style w:type="paragraph" w:styleId="18">
    <w:name w:val="Body Text First Indent 2"/>
    <w:basedOn w:val="11"/>
    <w:qFormat/>
    <w:uiPriority w:val="0"/>
    <w:pPr>
      <w:spacing w:after="0" w:line="360" w:lineRule="auto"/>
      <w:ind w:left="0" w:leftChars="0" w:firstLine="420" w:firstLineChars="200"/>
    </w:pPr>
    <w:rPr>
      <w:rFonts w:ascii="宋体"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qFormat/>
    <w:uiPriority w:val="0"/>
    <w:rPr>
      <w:color w:val="800080"/>
      <w:u w:val="none"/>
    </w:rPr>
  </w:style>
  <w:style w:type="character" w:styleId="23">
    <w:name w:val="HTML Definition"/>
    <w:qFormat/>
    <w:uiPriority w:val="0"/>
  </w:style>
  <w:style w:type="character" w:styleId="24">
    <w:name w:val="HTML Typewriter"/>
    <w:qFormat/>
    <w:uiPriority w:val="0"/>
    <w:rPr>
      <w:rFonts w:hint="default" w:ascii="monospace" w:hAnsi="monospace" w:eastAsia="monospace" w:cs="monospace"/>
      <w:sz w:val="20"/>
    </w:rPr>
  </w:style>
  <w:style w:type="character" w:styleId="25">
    <w:name w:val="HTML Acronym"/>
    <w:qFormat/>
    <w:uiPriority w:val="0"/>
  </w:style>
  <w:style w:type="character" w:styleId="26">
    <w:name w:val="HTML Variable"/>
    <w:qFormat/>
    <w:uiPriority w:val="0"/>
  </w:style>
  <w:style w:type="character" w:styleId="27">
    <w:name w:val="Hyperlink"/>
    <w:qFormat/>
    <w:uiPriority w:val="0"/>
    <w:rPr>
      <w:color w:val="0000FF"/>
      <w:u w:val="none"/>
    </w:rPr>
  </w:style>
  <w:style w:type="character" w:styleId="28">
    <w:name w:val="HTML Code"/>
    <w:qFormat/>
    <w:uiPriority w:val="0"/>
    <w:rPr>
      <w:rFonts w:hint="default" w:ascii="monospace" w:hAnsi="monospace" w:eastAsia="monospace" w:cs="monospace"/>
      <w:sz w:val="20"/>
    </w:rPr>
  </w:style>
  <w:style w:type="character" w:styleId="29">
    <w:name w:val="annotation reference"/>
    <w:qFormat/>
    <w:uiPriority w:val="0"/>
    <w:rPr>
      <w:sz w:val="21"/>
      <w:szCs w:val="21"/>
    </w:rPr>
  </w:style>
  <w:style w:type="character" w:styleId="30">
    <w:name w:val="HTML Cite"/>
    <w:qFormat/>
    <w:uiPriority w:val="0"/>
  </w:style>
  <w:style w:type="character" w:styleId="31">
    <w:name w:val="HTML Keyboard"/>
    <w:qFormat/>
    <w:uiPriority w:val="0"/>
    <w:rPr>
      <w:rFonts w:ascii="monospace" w:hAnsi="monospace" w:eastAsia="monospace" w:cs="monospace"/>
      <w:sz w:val="20"/>
    </w:rPr>
  </w:style>
  <w:style w:type="character" w:styleId="32">
    <w:name w:val="HTML Sample"/>
    <w:qFormat/>
    <w:uiPriority w:val="0"/>
    <w:rPr>
      <w:rFonts w:hint="default" w:ascii="monospace" w:hAnsi="monospace" w:eastAsia="monospace" w:cs="monospace"/>
    </w:rPr>
  </w:style>
  <w:style w:type="character" w:customStyle="1" w:styleId="33">
    <w:name w:val="批注文字 Char"/>
    <w:link w:val="9"/>
    <w:qFormat/>
    <w:uiPriority w:val="0"/>
    <w:rPr>
      <w:rFonts w:ascii="Calibri" w:hAnsi="Calibri"/>
      <w:kern w:val="2"/>
      <w:sz w:val="21"/>
      <w:szCs w:val="24"/>
    </w:rPr>
  </w:style>
  <w:style w:type="character" w:customStyle="1" w:styleId="34">
    <w:name w:val="批注框文本 Char"/>
    <w:link w:val="13"/>
    <w:qFormat/>
    <w:uiPriority w:val="0"/>
    <w:rPr>
      <w:rFonts w:ascii="Calibri" w:hAnsi="Calibri"/>
      <w:kern w:val="2"/>
      <w:sz w:val="18"/>
      <w:szCs w:val="18"/>
    </w:rPr>
  </w:style>
  <w:style w:type="character" w:customStyle="1" w:styleId="35">
    <w:name w:val="页脚 Char"/>
    <w:link w:val="14"/>
    <w:qFormat/>
    <w:uiPriority w:val="0"/>
    <w:rPr>
      <w:rFonts w:ascii="Calibri" w:hAnsi="Calibri"/>
      <w:kern w:val="2"/>
      <w:sz w:val="18"/>
      <w:szCs w:val="18"/>
    </w:rPr>
  </w:style>
  <w:style w:type="character" w:customStyle="1" w:styleId="36">
    <w:name w:val="页眉 Char"/>
    <w:link w:val="15"/>
    <w:qFormat/>
    <w:uiPriority w:val="0"/>
    <w:rPr>
      <w:rFonts w:ascii="Calibri" w:hAnsi="Calibri"/>
      <w:kern w:val="2"/>
      <w:sz w:val="18"/>
      <w:szCs w:val="18"/>
    </w:rPr>
  </w:style>
  <w:style w:type="character" w:customStyle="1" w:styleId="37">
    <w:name w:val="批注主题 Char"/>
    <w:link w:val="17"/>
    <w:qFormat/>
    <w:uiPriority w:val="0"/>
    <w:rPr>
      <w:rFonts w:ascii="Calibri" w:hAnsi="Calibri"/>
      <w:b/>
      <w:bCs/>
      <w:kern w:val="2"/>
      <w:sz w:val="21"/>
      <w:szCs w:val="24"/>
    </w:rPr>
  </w:style>
  <w:style w:type="paragraph" w:customStyle="1" w:styleId="38">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9">
    <w:name w:val="未处理的提及1"/>
    <w:unhideWhenUsed/>
    <w:qFormat/>
    <w:uiPriority w:val="99"/>
    <w:rPr>
      <w:color w:val="605E5C"/>
      <w:shd w:val="clear" w:color="auto" w:fill="E1DFDD"/>
    </w:rPr>
  </w:style>
  <w:style w:type="paragraph" w:styleId="40">
    <w:name w:val="List Paragraph"/>
    <w:basedOn w:val="1"/>
    <w:qFormat/>
    <w:uiPriority w:val="99"/>
    <w:pPr>
      <w:ind w:firstLine="420" w:firstLineChars="200"/>
    </w:pPr>
  </w:style>
  <w:style w:type="paragraph" w:customStyle="1" w:styleId="41">
    <w:name w:val="样式5"/>
    <w:basedOn w:val="1"/>
    <w:qFormat/>
    <w:uiPriority w:val="99"/>
    <w:rPr>
      <w:rFonts w:ascii="宋体" w:cs="宋体"/>
      <w:sz w:val="24"/>
    </w:rPr>
  </w:style>
  <w:style w:type="paragraph" w:customStyle="1" w:styleId="42">
    <w:name w:val="首行缩进"/>
    <w:basedOn w:val="1"/>
    <w:qFormat/>
    <w:uiPriority w:val="0"/>
    <w:pPr>
      <w:spacing w:line="360" w:lineRule="auto"/>
      <w:ind w:firstLine="480" w:firstLineChars="200"/>
    </w:pPr>
    <w:rPr>
      <w:rFonts w:ascii="宋体" w:hAnsi="宋体" w:cs="宋体"/>
      <w:kern w:val="0"/>
      <w:sz w:val="24"/>
    </w:rPr>
  </w:style>
  <w:style w:type="paragraph" w:styleId="43">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44">
    <w:name w:val="文档结构图 Char"/>
    <w:basedOn w:val="21"/>
    <w:link w:val="8"/>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8333</Words>
  <Characters>8636</Characters>
  <Lines>14</Lines>
  <Paragraphs>27</Paragraphs>
  <TotalTime>35</TotalTime>
  <ScaleCrop>false</ScaleCrop>
  <LinksUpToDate>false</LinksUpToDate>
  <CharactersWithSpaces>8719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2025-03-01T00:52:00Z</dcterms:created>
  <dc:creator>Administrator</dc:creator>
  <cp:lastModifiedBy>蔗糖</cp:lastModifiedBy>
  <cp:lastPrinted>2021-10-16T08:15:00Z</cp:lastPrinted>
  <dcterms:modified xsi:type="dcterms:W3CDTF">2026-06-01T07:04:38Z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DA4CF8FC07EE457AA955638BBCDD6E42_13</vt:lpwstr>
  </property>
  <property fmtid="{D5CDD505-2E9C-101B-9397-08002B2CF9AE}" pid="4" name="KSOTemplateDocerSaveRecord">
    <vt:lpwstr>eyJoZGlkIjoiNjdmYmEzYzdhZjBmYTNiNDRkMWVlMjdmOWM5YWM3NGMiLCJ1c2VySWQiOiIyODk1MjQyOTUifQ==</vt:lpwstr>
  </property>
</Properties>
</file>