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69AF3">
      <w:pPr>
        <w:autoSpaceDE w:val="0"/>
        <w:autoSpaceDN w:val="0"/>
        <w:adjustRightInd w:val="0"/>
        <w:spacing w:line="312" w:lineRule="auto"/>
        <w:rPr>
          <w:rFonts w:ascii="宋体" w:hAnsi="宋体" w:cs="宋体"/>
          <w:b/>
          <w:spacing w:val="-28"/>
          <w:sz w:val="44"/>
          <w:szCs w:val="44"/>
        </w:rPr>
      </w:pPr>
    </w:p>
    <w:p w14:paraId="470E1919">
      <w:pPr>
        <w:autoSpaceDE w:val="0"/>
        <w:autoSpaceDN w:val="0"/>
        <w:adjustRightInd w:val="0"/>
        <w:spacing w:line="312" w:lineRule="auto"/>
        <w:jc w:val="center"/>
        <w:rPr>
          <w:rFonts w:hint="eastAsia" w:ascii="宋体" w:hAnsi="宋体" w:eastAsia="宋体" w:cs="宋体"/>
          <w:b/>
          <w:sz w:val="44"/>
          <w:szCs w:val="44"/>
          <w:lang w:eastAsia="zh-CN"/>
        </w:rPr>
      </w:pPr>
      <w:r>
        <w:rPr>
          <w:rFonts w:hint="eastAsia" w:ascii="宋体" w:hAnsi="宋体" w:cs="宋体"/>
          <w:b/>
          <w:sz w:val="44"/>
          <w:szCs w:val="44"/>
          <w:lang w:eastAsia="zh-CN"/>
        </w:rPr>
        <w:t>启东市吕四水处理有限公司氯离子监控终端、DO探头、ORP探头、液位计采购项目</w:t>
      </w:r>
    </w:p>
    <w:p w14:paraId="05E5B2DD">
      <w:pPr>
        <w:autoSpaceDE w:val="0"/>
        <w:autoSpaceDN w:val="0"/>
        <w:adjustRightInd w:val="0"/>
        <w:spacing w:line="312" w:lineRule="auto"/>
        <w:ind w:firstLine="442"/>
        <w:jc w:val="center"/>
        <w:rPr>
          <w:rFonts w:ascii="宋体" w:hAnsi="宋体" w:cs="宋体"/>
          <w:b/>
          <w:sz w:val="44"/>
          <w:szCs w:val="44"/>
        </w:rPr>
      </w:pPr>
    </w:p>
    <w:p w14:paraId="2F543D1C">
      <w:pPr>
        <w:autoSpaceDE w:val="0"/>
        <w:autoSpaceDN w:val="0"/>
        <w:adjustRightInd w:val="0"/>
        <w:spacing w:line="312" w:lineRule="auto"/>
        <w:rPr>
          <w:rFonts w:ascii="宋体" w:hAnsi="宋体" w:cs="宋体"/>
          <w:b/>
          <w:bCs/>
          <w:sz w:val="96"/>
          <w:szCs w:val="96"/>
        </w:rPr>
      </w:pPr>
    </w:p>
    <w:p w14:paraId="3E053FC8">
      <w:pPr>
        <w:autoSpaceDE w:val="0"/>
        <w:autoSpaceDN w:val="0"/>
        <w:adjustRightInd w:val="0"/>
        <w:spacing w:line="312" w:lineRule="auto"/>
        <w:jc w:val="center"/>
        <w:rPr>
          <w:rFonts w:ascii="宋体" w:hAnsi="宋体" w:cs="宋体"/>
          <w:b/>
          <w:sz w:val="96"/>
          <w:szCs w:val="96"/>
          <w:lang w:val="zh-CN"/>
        </w:rPr>
      </w:pPr>
      <w:r>
        <w:rPr>
          <w:rFonts w:hint="eastAsia" w:ascii="宋体" w:hAnsi="宋体" w:cs="宋体"/>
          <w:b/>
          <w:bCs/>
          <w:sz w:val="96"/>
          <w:szCs w:val="96"/>
          <w:lang w:val="zh-CN"/>
        </w:rPr>
        <w:t>询价文件</w:t>
      </w:r>
    </w:p>
    <w:p w14:paraId="64C0E48B">
      <w:pPr>
        <w:pStyle w:val="7"/>
        <w:rPr>
          <w:rFonts w:ascii="宋体" w:hAnsi="宋体" w:cs="宋体"/>
          <w:lang w:val="zh-CN"/>
        </w:rPr>
      </w:pPr>
    </w:p>
    <w:p w14:paraId="52A4A60B">
      <w:pPr>
        <w:spacing w:line="312" w:lineRule="auto"/>
        <w:rPr>
          <w:rFonts w:ascii="宋体" w:hAnsi="宋体" w:cs="宋体"/>
          <w:b/>
          <w:sz w:val="36"/>
          <w:szCs w:val="36"/>
        </w:rPr>
      </w:pPr>
    </w:p>
    <w:p w14:paraId="53F90905">
      <w:pPr>
        <w:spacing w:line="312" w:lineRule="auto"/>
        <w:rPr>
          <w:rFonts w:ascii="宋体" w:hAnsi="宋体" w:cs="宋体"/>
          <w:b/>
          <w:sz w:val="36"/>
          <w:szCs w:val="36"/>
        </w:rPr>
      </w:pPr>
    </w:p>
    <w:p w14:paraId="1E168DD0">
      <w:pPr>
        <w:spacing w:line="312" w:lineRule="auto"/>
        <w:rPr>
          <w:rFonts w:ascii="宋体" w:hAnsi="宋体" w:cs="宋体"/>
          <w:b/>
          <w:sz w:val="36"/>
          <w:szCs w:val="36"/>
        </w:rPr>
      </w:pPr>
    </w:p>
    <w:p w14:paraId="687B91F7">
      <w:pPr>
        <w:spacing w:line="312" w:lineRule="auto"/>
        <w:ind w:firstLine="361"/>
        <w:jc w:val="center"/>
        <w:rPr>
          <w:rFonts w:ascii="宋体" w:hAnsi="宋体" w:cs="宋体"/>
          <w:b/>
          <w:sz w:val="36"/>
          <w:szCs w:val="36"/>
        </w:rPr>
      </w:pPr>
    </w:p>
    <w:p w14:paraId="0CDAE7CA">
      <w:pPr>
        <w:spacing w:line="312" w:lineRule="auto"/>
        <w:ind w:firstLine="361"/>
        <w:jc w:val="center"/>
        <w:rPr>
          <w:rFonts w:hint="eastAsia" w:ascii="宋体" w:hAnsi="宋体" w:eastAsia="宋体" w:cs="宋体"/>
          <w:b/>
          <w:sz w:val="36"/>
          <w:szCs w:val="36"/>
          <w:lang w:eastAsia="zh-CN"/>
        </w:rPr>
      </w:pPr>
      <w:r>
        <w:rPr>
          <w:rFonts w:hint="eastAsia" w:ascii="宋体" w:hAnsi="宋体" w:cs="宋体"/>
          <w:b/>
          <w:sz w:val="36"/>
          <w:szCs w:val="36"/>
          <w:lang w:eastAsia="zh-CN"/>
        </w:rPr>
        <w:t>启东市城市水处理有限公司</w:t>
      </w:r>
    </w:p>
    <w:p w14:paraId="20DD5F97">
      <w:pPr>
        <w:spacing w:line="312" w:lineRule="auto"/>
        <w:ind w:firstLine="361"/>
        <w:jc w:val="center"/>
        <w:rPr>
          <w:rFonts w:ascii="宋体" w:hAnsi="宋体" w:cs="宋体"/>
          <w:b/>
          <w:sz w:val="36"/>
          <w:szCs w:val="36"/>
        </w:rPr>
      </w:pPr>
      <w:r>
        <w:rPr>
          <w:rFonts w:hint="eastAsia" w:ascii="宋体" w:hAnsi="宋体" w:cs="宋体"/>
          <w:b/>
          <w:sz w:val="36"/>
          <w:szCs w:val="36"/>
        </w:rPr>
        <w:t>202</w:t>
      </w:r>
      <w:r>
        <w:rPr>
          <w:rFonts w:hint="eastAsia" w:ascii="宋体" w:hAnsi="宋体" w:cs="宋体"/>
          <w:b/>
          <w:sz w:val="36"/>
          <w:szCs w:val="36"/>
          <w:lang w:val="en-US" w:eastAsia="zh-CN"/>
        </w:rPr>
        <w:t>6</w:t>
      </w:r>
      <w:r>
        <w:rPr>
          <w:rFonts w:hint="eastAsia" w:ascii="宋体" w:hAnsi="宋体" w:cs="宋体"/>
          <w:b/>
          <w:sz w:val="36"/>
          <w:szCs w:val="36"/>
        </w:rPr>
        <w:t>年</w:t>
      </w:r>
      <w:r>
        <w:rPr>
          <w:rFonts w:hint="eastAsia" w:ascii="宋体" w:hAnsi="宋体" w:cs="宋体"/>
          <w:b/>
          <w:sz w:val="36"/>
          <w:szCs w:val="36"/>
          <w:lang w:val="en-US" w:eastAsia="zh-CN"/>
        </w:rPr>
        <w:t>01</w:t>
      </w:r>
      <w:r>
        <w:rPr>
          <w:rFonts w:hint="eastAsia" w:ascii="宋体" w:hAnsi="宋体" w:cs="宋体"/>
          <w:b/>
          <w:sz w:val="36"/>
          <w:szCs w:val="36"/>
        </w:rPr>
        <w:t>月</w:t>
      </w:r>
      <w:r>
        <w:rPr>
          <w:rFonts w:hint="eastAsia" w:ascii="宋体" w:hAnsi="宋体" w:cs="宋体"/>
          <w:b/>
          <w:sz w:val="36"/>
          <w:szCs w:val="36"/>
          <w:lang w:val="en-US" w:eastAsia="zh-CN"/>
        </w:rPr>
        <w:t>29</w:t>
      </w:r>
      <w:r>
        <w:rPr>
          <w:rFonts w:hint="eastAsia" w:ascii="宋体" w:hAnsi="宋体" w:cs="宋体"/>
          <w:b/>
          <w:sz w:val="36"/>
          <w:szCs w:val="36"/>
        </w:rPr>
        <w:t>日</w:t>
      </w:r>
    </w:p>
    <w:p w14:paraId="5471D6F3">
      <w:pPr>
        <w:adjustRightInd w:val="0"/>
        <w:snapToGrid w:val="0"/>
        <w:spacing w:line="312" w:lineRule="auto"/>
        <w:ind w:left="-157" w:leftChars="-75" w:firstLine="261"/>
        <w:rPr>
          <w:rFonts w:ascii="宋体" w:hAnsi="宋体" w:cs="宋体"/>
          <w:b/>
          <w:snapToGrid w:val="0"/>
          <w:sz w:val="26"/>
          <w:szCs w:val="28"/>
          <w:u w:val="single"/>
        </w:rPr>
      </w:pPr>
    </w:p>
    <w:p w14:paraId="238FE2BE">
      <w:pPr>
        <w:pStyle w:val="7"/>
        <w:ind w:firstLine="210"/>
        <w:rPr>
          <w:rFonts w:ascii="宋体" w:hAnsi="宋体" w:cs="宋体"/>
        </w:rPr>
      </w:pPr>
    </w:p>
    <w:p w14:paraId="500E27F6">
      <w:pPr>
        <w:rPr>
          <w:rFonts w:ascii="宋体" w:hAnsi="宋体" w:cs="宋体"/>
        </w:rPr>
      </w:pPr>
    </w:p>
    <w:p w14:paraId="32BBF63E">
      <w:pPr>
        <w:rPr>
          <w:rFonts w:ascii="宋体" w:hAnsi="宋体" w:cs="宋体"/>
        </w:rPr>
      </w:pPr>
    </w:p>
    <w:p w14:paraId="523875F8">
      <w:pPr>
        <w:rPr>
          <w:rFonts w:ascii="宋体" w:hAnsi="宋体" w:cs="宋体"/>
        </w:rPr>
      </w:pPr>
    </w:p>
    <w:p w14:paraId="4223F4E1">
      <w:pPr>
        <w:rPr>
          <w:rFonts w:ascii="宋体" w:hAnsi="宋体" w:cs="宋体"/>
        </w:rPr>
      </w:pPr>
    </w:p>
    <w:p w14:paraId="0784ECAD">
      <w:pPr>
        <w:rPr>
          <w:rFonts w:ascii="宋体" w:hAnsi="宋体" w:cs="宋体"/>
        </w:rPr>
      </w:pPr>
    </w:p>
    <w:p w14:paraId="5B02EC1B">
      <w:pPr>
        <w:rPr>
          <w:rFonts w:ascii="宋体" w:hAnsi="宋体" w:cs="宋体"/>
        </w:rPr>
      </w:pPr>
    </w:p>
    <w:p w14:paraId="778897D7">
      <w:pPr>
        <w:adjustRightInd w:val="0"/>
        <w:snapToGrid w:val="0"/>
        <w:ind w:left="-157" w:leftChars="-75" w:firstLine="321"/>
        <w:jc w:val="left"/>
        <w:rPr>
          <w:rFonts w:ascii="宋体" w:hAnsi="宋体" w:cs="宋体"/>
          <w:b/>
          <w:bCs/>
          <w:color w:val="0000FF"/>
          <w:sz w:val="28"/>
          <w:szCs w:val="28"/>
          <w:highlight w:val="yellow"/>
        </w:rPr>
      </w:pPr>
      <w:r>
        <w:rPr>
          <w:rFonts w:hint="eastAsia" w:ascii="宋体" w:hAnsi="宋体" w:cs="宋体"/>
          <w:b/>
          <w:snapToGrid w:val="0"/>
          <w:sz w:val="32"/>
          <w:szCs w:val="32"/>
        </w:rPr>
        <w:t>地址:</w:t>
      </w:r>
      <w:r>
        <w:rPr>
          <w:rFonts w:hint="eastAsia" w:ascii="宋体" w:hAnsi="宋体" w:cs="宋体"/>
          <w:snapToGrid w:val="0"/>
          <w:sz w:val="32"/>
          <w:szCs w:val="32"/>
        </w:rPr>
        <w:t xml:space="preserve"> </w:t>
      </w:r>
      <w:r>
        <w:rPr>
          <w:rFonts w:hint="eastAsia" w:ascii="宋体" w:hAnsi="宋体" w:cs="宋体"/>
          <w:b/>
          <w:bCs/>
          <w:snapToGrid w:val="0"/>
          <w:sz w:val="32"/>
          <w:szCs w:val="32"/>
        </w:rPr>
        <w:t>启东市经济开发区海洪路666号</w:t>
      </w:r>
    </w:p>
    <w:p w14:paraId="70033948">
      <w:pPr>
        <w:adjustRightInd w:val="0"/>
        <w:snapToGrid w:val="0"/>
        <w:ind w:left="-157" w:leftChars="-75" w:firstLine="321"/>
        <w:jc w:val="left"/>
        <w:rPr>
          <w:rFonts w:ascii="宋体" w:hAnsi="宋体" w:cs="宋体"/>
          <w:snapToGrid w:val="0"/>
          <w:sz w:val="32"/>
          <w:szCs w:val="32"/>
        </w:rPr>
      </w:pPr>
      <w:r>
        <w:rPr>
          <w:rFonts w:hint="eastAsia" w:ascii="宋体" w:hAnsi="宋体" w:cs="宋体"/>
          <w:b/>
          <w:bCs/>
          <w:snapToGrid w:val="0"/>
          <w:sz w:val="32"/>
          <w:szCs w:val="32"/>
        </w:rPr>
        <w:t xml:space="preserve">邮政编码：226200 </w:t>
      </w:r>
      <w:r>
        <w:rPr>
          <w:rFonts w:hint="eastAsia" w:ascii="宋体" w:hAnsi="宋体" w:cs="宋体"/>
          <w:snapToGrid w:val="0"/>
          <w:sz w:val="32"/>
          <w:szCs w:val="32"/>
        </w:rPr>
        <w:t xml:space="preserve">       </w:t>
      </w:r>
    </w:p>
    <w:p w14:paraId="221BE843">
      <w:pPr>
        <w:adjustRightInd w:val="0"/>
        <w:snapToGrid w:val="0"/>
        <w:ind w:left="-157" w:leftChars="-75" w:right="-600" w:rightChars="-286" w:firstLine="321"/>
        <w:jc w:val="both"/>
        <w:rPr>
          <w:rFonts w:hint="eastAsia" w:ascii="宋体" w:hAnsi="宋体" w:eastAsia="宋体" w:cs="宋体"/>
          <w:b/>
          <w:snapToGrid w:val="0"/>
          <w:sz w:val="32"/>
          <w:szCs w:val="32"/>
          <w:lang w:eastAsia="zh-CN"/>
        </w:rPr>
      </w:pPr>
      <w:r>
        <w:rPr>
          <w:rFonts w:hint="eastAsia" w:ascii="宋体" w:hAnsi="宋体" w:cs="宋体"/>
          <w:b/>
          <w:snapToGrid w:val="0"/>
          <w:sz w:val="32"/>
          <w:szCs w:val="32"/>
          <w:lang w:eastAsia="zh-CN"/>
        </w:rPr>
        <w:t>启东市城市水处理有限公司网站</w:t>
      </w:r>
    </w:p>
    <w:p w14:paraId="030BD17F">
      <w:pPr>
        <w:tabs>
          <w:tab w:val="left" w:pos="1260"/>
        </w:tabs>
        <w:adjustRightInd w:val="0"/>
        <w:snapToGrid w:val="0"/>
        <w:spacing w:line="312" w:lineRule="auto"/>
        <w:ind w:left="-157" w:leftChars="-75" w:right="-600" w:rightChars="-286" w:firstLine="320"/>
        <w:jc w:val="center"/>
        <w:rPr>
          <w:rFonts w:ascii="宋体" w:hAnsi="宋体" w:cs="宋体"/>
          <w:sz w:val="32"/>
          <w:szCs w:val="32"/>
        </w:rPr>
        <w:sectPr>
          <w:pgSz w:w="11906" w:h="16838"/>
          <w:pgMar w:top="1440" w:right="1800" w:bottom="1440" w:left="1800" w:header="851" w:footer="850" w:gutter="0"/>
          <w:pgNumType w:start="1"/>
          <w:cols w:space="720" w:num="1"/>
          <w:docGrid w:type="linesAndChars" w:linePitch="312" w:charSpace="0"/>
        </w:sectPr>
      </w:pPr>
    </w:p>
    <w:p w14:paraId="05720055">
      <w:pPr>
        <w:autoSpaceDE w:val="0"/>
        <w:autoSpaceDN w:val="0"/>
        <w:adjustRightInd w:val="0"/>
        <w:snapToGrid w:val="0"/>
        <w:spacing w:line="360" w:lineRule="auto"/>
        <w:ind w:firstLine="454"/>
        <w:jc w:val="center"/>
        <w:outlineLvl w:val="0"/>
        <w:rPr>
          <w:rFonts w:ascii="宋体" w:hAnsi="宋体" w:cs="宋体"/>
          <w:bCs/>
          <w:spacing w:val="7"/>
          <w:kern w:val="0"/>
          <w:sz w:val="44"/>
          <w:szCs w:val="44"/>
        </w:rPr>
      </w:pPr>
    </w:p>
    <w:p w14:paraId="7121A08C">
      <w:pPr>
        <w:autoSpaceDE w:val="0"/>
        <w:autoSpaceDN w:val="0"/>
        <w:adjustRightInd w:val="0"/>
        <w:snapToGrid w:val="0"/>
        <w:spacing w:line="360" w:lineRule="auto"/>
        <w:ind w:firstLine="454"/>
        <w:jc w:val="center"/>
        <w:outlineLvl w:val="0"/>
        <w:rPr>
          <w:rFonts w:ascii="宋体" w:hAnsi="宋体" w:cs="宋体"/>
          <w:bCs/>
          <w:spacing w:val="7"/>
          <w:kern w:val="0"/>
          <w:sz w:val="44"/>
          <w:szCs w:val="44"/>
        </w:rPr>
      </w:pPr>
      <w:r>
        <w:rPr>
          <w:rFonts w:hint="eastAsia" w:ascii="宋体" w:hAnsi="宋体" w:cs="宋体"/>
          <w:bCs/>
          <w:spacing w:val="7"/>
          <w:kern w:val="0"/>
          <w:sz w:val="44"/>
          <w:szCs w:val="44"/>
        </w:rPr>
        <w:t>目 录</w:t>
      </w:r>
    </w:p>
    <w:p w14:paraId="6A8E10F5">
      <w:pPr>
        <w:autoSpaceDE w:val="0"/>
        <w:autoSpaceDN w:val="0"/>
        <w:adjustRightInd w:val="0"/>
        <w:snapToGrid w:val="0"/>
        <w:spacing w:line="360" w:lineRule="auto"/>
        <w:ind w:firstLine="294"/>
        <w:rPr>
          <w:rFonts w:ascii="宋体" w:hAnsi="宋体" w:cs="宋体"/>
          <w:bCs/>
          <w:spacing w:val="7"/>
          <w:kern w:val="0"/>
          <w:sz w:val="28"/>
          <w:szCs w:val="28"/>
        </w:rPr>
      </w:pPr>
    </w:p>
    <w:p w14:paraId="47F2C38E">
      <w:pPr>
        <w:pStyle w:val="7"/>
        <w:adjustRightInd w:val="0"/>
        <w:snapToGrid w:val="0"/>
        <w:spacing w:after="0" w:line="360" w:lineRule="auto"/>
        <w:ind w:firstLine="210"/>
        <w:rPr>
          <w:rFonts w:ascii="宋体" w:hAnsi="宋体" w:cs="宋体"/>
        </w:rPr>
      </w:pPr>
    </w:p>
    <w:p w14:paraId="113B0299">
      <w:pPr>
        <w:adjustRightInd w:val="0"/>
        <w:snapToGrid w:val="0"/>
        <w:spacing w:line="360" w:lineRule="auto"/>
        <w:ind w:firstLine="640" w:firstLineChars="200"/>
        <w:rPr>
          <w:rFonts w:ascii="宋体" w:hAnsi="宋体" w:cs="宋体"/>
          <w:bCs/>
          <w:sz w:val="32"/>
          <w:szCs w:val="32"/>
        </w:rPr>
      </w:pPr>
      <w:r>
        <w:rPr>
          <w:rFonts w:hint="eastAsia" w:ascii="宋体" w:hAnsi="宋体" w:cs="宋体"/>
          <w:bCs/>
          <w:sz w:val="32"/>
          <w:szCs w:val="32"/>
        </w:rPr>
        <w:t>第一部分  询价采购公告</w:t>
      </w:r>
    </w:p>
    <w:p w14:paraId="63FB531C">
      <w:pPr>
        <w:adjustRightInd w:val="0"/>
        <w:snapToGrid w:val="0"/>
        <w:spacing w:line="360" w:lineRule="auto"/>
        <w:ind w:firstLine="640" w:firstLineChars="200"/>
        <w:rPr>
          <w:rFonts w:ascii="宋体" w:hAnsi="宋体" w:cs="宋体"/>
          <w:bCs/>
          <w:sz w:val="32"/>
          <w:szCs w:val="32"/>
        </w:rPr>
      </w:pPr>
      <w:r>
        <w:rPr>
          <w:rFonts w:hint="eastAsia" w:ascii="宋体" w:hAnsi="宋体" w:cs="宋体"/>
          <w:bCs/>
          <w:sz w:val="32"/>
          <w:szCs w:val="32"/>
        </w:rPr>
        <w:t>第二部分  响应须知</w:t>
      </w:r>
    </w:p>
    <w:p w14:paraId="12985C6F">
      <w:pPr>
        <w:adjustRightInd w:val="0"/>
        <w:snapToGrid w:val="0"/>
        <w:spacing w:line="360" w:lineRule="auto"/>
        <w:ind w:firstLine="640" w:firstLineChars="200"/>
        <w:rPr>
          <w:rFonts w:ascii="宋体" w:hAnsi="宋体" w:cs="宋体"/>
          <w:bCs/>
          <w:sz w:val="32"/>
          <w:szCs w:val="32"/>
        </w:rPr>
      </w:pPr>
      <w:r>
        <w:rPr>
          <w:rFonts w:hint="eastAsia" w:ascii="宋体" w:hAnsi="宋体" w:cs="宋体"/>
          <w:bCs/>
          <w:sz w:val="32"/>
          <w:szCs w:val="32"/>
        </w:rPr>
        <w:t>第三部分  项目需求</w:t>
      </w:r>
    </w:p>
    <w:p w14:paraId="097CA359">
      <w:pPr>
        <w:adjustRightInd w:val="0"/>
        <w:snapToGrid w:val="0"/>
        <w:spacing w:line="360" w:lineRule="auto"/>
        <w:ind w:firstLine="640" w:firstLineChars="200"/>
        <w:rPr>
          <w:rFonts w:ascii="宋体" w:hAnsi="宋体" w:cs="宋体"/>
          <w:bCs/>
          <w:sz w:val="32"/>
          <w:szCs w:val="32"/>
        </w:rPr>
      </w:pPr>
      <w:r>
        <w:rPr>
          <w:rFonts w:hint="eastAsia" w:ascii="宋体" w:hAnsi="宋体" w:cs="宋体"/>
          <w:bCs/>
          <w:sz w:val="32"/>
          <w:szCs w:val="32"/>
        </w:rPr>
        <w:t>第四部分  响应文件组成</w:t>
      </w:r>
    </w:p>
    <w:p w14:paraId="139DB275">
      <w:pPr>
        <w:adjustRightInd w:val="0"/>
        <w:snapToGrid w:val="0"/>
        <w:spacing w:line="500" w:lineRule="exact"/>
        <w:ind w:firstLine="294"/>
        <w:jc w:val="center"/>
        <w:rPr>
          <w:rFonts w:ascii="宋体" w:hAnsi="宋体" w:cs="宋体"/>
          <w:sz w:val="36"/>
          <w:szCs w:val="36"/>
        </w:rPr>
        <w:sectPr>
          <w:footerReference r:id="rId3" w:type="default"/>
          <w:footerReference r:id="rId4" w:type="even"/>
          <w:pgSz w:w="11906" w:h="16839"/>
          <w:pgMar w:top="1440" w:right="1080" w:bottom="1440" w:left="1080" w:header="0" w:footer="1398" w:gutter="0"/>
          <w:pgNumType w:start="1"/>
          <w:cols w:space="720" w:num="1"/>
        </w:sectPr>
      </w:pPr>
      <w:bookmarkStart w:id="0" w:name="_Toc3520"/>
      <w:bookmarkStart w:id="1" w:name="_Toc82505651"/>
      <w:bookmarkStart w:id="2" w:name="OLE_LINK1"/>
    </w:p>
    <w:p w14:paraId="536D16B7">
      <w:pPr>
        <w:adjustRightInd w:val="0"/>
        <w:snapToGrid w:val="0"/>
        <w:spacing w:line="500" w:lineRule="exact"/>
        <w:ind w:firstLine="294"/>
        <w:jc w:val="center"/>
        <w:rPr>
          <w:rFonts w:ascii="宋体" w:hAnsi="宋体" w:cs="宋体"/>
          <w:sz w:val="36"/>
          <w:szCs w:val="36"/>
        </w:rPr>
      </w:pPr>
      <w:r>
        <w:rPr>
          <w:rFonts w:hint="eastAsia" w:ascii="宋体" w:hAnsi="宋体" w:cs="宋体"/>
          <w:sz w:val="36"/>
          <w:szCs w:val="36"/>
        </w:rPr>
        <w:t>第一部分  询价采购公告</w:t>
      </w:r>
      <w:bookmarkEnd w:id="0"/>
      <w:bookmarkEnd w:id="1"/>
    </w:p>
    <w:p w14:paraId="4B9444C6">
      <w:pPr>
        <w:adjustRightInd w:val="0"/>
        <w:snapToGrid w:val="0"/>
        <w:spacing w:line="500" w:lineRule="exact"/>
        <w:ind w:firstLine="560" w:firstLineChars="200"/>
        <w:rPr>
          <w:rFonts w:ascii="宋体" w:hAnsi="宋体" w:cs="宋体"/>
          <w:sz w:val="28"/>
          <w:szCs w:val="28"/>
        </w:rPr>
      </w:pPr>
      <w:bookmarkStart w:id="3" w:name="OLE_LINK2"/>
      <w:bookmarkStart w:id="4" w:name="OLE_LINK6"/>
      <w:bookmarkStart w:id="5" w:name="OLE_LINK5"/>
      <w:bookmarkStart w:id="6" w:name="OLE_LINK3"/>
      <w:r>
        <w:rPr>
          <w:rFonts w:hint="eastAsia" w:ascii="宋体" w:hAnsi="宋体" w:cs="宋体"/>
          <w:sz w:val="28"/>
          <w:szCs w:val="28"/>
        </w:rPr>
        <w:t>现就[</w:t>
      </w:r>
      <w:r>
        <w:rPr>
          <w:rFonts w:hint="eastAsia" w:ascii="宋体" w:hAnsi="宋体" w:cs="宋体"/>
          <w:sz w:val="28"/>
          <w:szCs w:val="28"/>
          <w:lang w:eastAsia="zh-CN"/>
        </w:rPr>
        <w:t>启东市吕四水处理有限公司氯离子监控终端、DO探头、ORP探头、液位计采购项目</w:t>
      </w:r>
      <w:r>
        <w:rPr>
          <w:rFonts w:hint="eastAsia" w:ascii="宋体" w:hAnsi="宋体" w:cs="宋体"/>
          <w:sz w:val="28"/>
          <w:szCs w:val="28"/>
        </w:rPr>
        <w:t>]进行询价采购，欢迎符合条件的供应商响应。</w:t>
      </w:r>
    </w:p>
    <w:p w14:paraId="700C3D21">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项目概况</w:t>
      </w:r>
    </w:p>
    <w:p w14:paraId="5ACD40E5">
      <w:pPr>
        <w:pBdr>
          <w:top w:val="single" w:color="auto" w:sz="4" w:space="1"/>
          <w:left w:val="single" w:color="auto" w:sz="4" w:space="4"/>
          <w:bottom w:val="single" w:color="auto" w:sz="4" w:space="1"/>
          <w:right w:val="single" w:color="auto" w:sz="4" w:space="4"/>
        </w:pBd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启东市吕四水处理有限公司氯离子监控终端、DO探头、ORP探头、液位计采购项目</w:t>
      </w:r>
      <w:r>
        <w:rPr>
          <w:rFonts w:hint="eastAsia" w:ascii="宋体" w:hAnsi="宋体" w:cs="宋体"/>
          <w:sz w:val="28"/>
          <w:szCs w:val="28"/>
        </w:rPr>
        <w:t>]的潜在响应供应商应在</w:t>
      </w:r>
      <w:r>
        <w:rPr>
          <w:rFonts w:hint="eastAsia" w:ascii="宋体" w:hAnsi="宋体" w:cs="宋体"/>
          <w:sz w:val="28"/>
          <w:szCs w:val="28"/>
          <w:lang w:eastAsia="zh-CN"/>
        </w:rPr>
        <w:t>启东市城市水处理有限公司网站</w:t>
      </w:r>
      <w:r>
        <w:rPr>
          <w:rFonts w:hint="eastAsia" w:ascii="宋体" w:hAnsi="宋体" w:cs="宋体"/>
          <w:sz w:val="28"/>
          <w:szCs w:val="28"/>
        </w:rPr>
        <w:t>获取采购文件，并于202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02</w:t>
      </w:r>
      <w:r>
        <w:rPr>
          <w:rFonts w:hint="eastAsia" w:ascii="宋体" w:hAnsi="宋体" w:cs="宋体"/>
          <w:sz w:val="28"/>
          <w:szCs w:val="28"/>
        </w:rPr>
        <w:t>月</w:t>
      </w:r>
      <w:r>
        <w:rPr>
          <w:rFonts w:hint="eastAsia" w:ascii="宋体" w:hAnsi="宋体" w:cs="宋体"/>
          <w:sz w:val="28"/>
          <w:szCs w:val="28"/>
          <w:lang w:val="en-US" w:eastAsia="zh-CN"/>
        </w:rPr>
        <w:t>04</w:t>
      </w:r>
      <w:r>
        <w:rPr>
          <w:rFonts w:hint="eastAsia" w:ascii="宋体" w:hAnsi="宋体" w:cs="宋体"/>
          <w:sz w:val="28"/>
          <w:szCs w:val="28"/>
        </w:rPr>
        <w:t>日9点00分（北京时间）前递交响应文件。</w:t>
      </w:r>
    </w:p>
    <w:p w14:paraId="5E12DC1F">
      <w:pPr>
        <w:adjustRightInd w:val="0"/>
        <w:snapToGrid w:val="0"/>
        <w:spacing w:line="500" w:lineRule="exact"/>
        <w:ind w:firstLine="560" w:firstLineChars="200"/>
        <w:rPr>
          <w:rFonts w:ascii="宋体" w:hAnsi="宋体" w:cs="宋体"/>
          <w:b/>
          <w:bCs/>
          <w:sz w:val="28"/>
          <w:szCs w:val="28"/>
        </w:rPr>
      </w:pPr>
      <w:bookmarkStart w:id="7" w:name="_Toc82505652"/>
      <w:r>
        <w:rPr>
          <w:rFonts w:hint="eastAsia" w:ascii="宋体" w:hAnsi="宋体" w:cs="宋体"/>
          <w:b/>
          <w:bCs/>
          <w:sz w:val="28"/>
          <w:szCs w:val="28"/>
        </w:rPr>
        <w:t>一、项目基本情况</w:t>
      </w:r>
      <w:bookmarkEnd w:id="7"/>
    </w:p>
    <w:p w14:paraId="02F06FFE">
      <w:pPr>
        <w:adjustRightInd w:val="0"/>
        <w:snapToGrid w:val="0"/>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项目名称：</w:t>
      </w:r>
      <w:r>
        <w:rPr>
          <w:rFonts w:hint="eastAsia" w:ascii="宋体" w:hAnsi="宋体" w:cs="宋体"/>
          <w:sz w:val="28"/>
          <w:szCs w:val="28"/>
          <w:lang w:eastAsia="zh-CN"/>
        </w:rPr>
        <w:t>启东市吕四水处理有限公司氯离子监控终端、DO探头、ORP探头、液位计采购项目</w:t>
      </w:r>
    </w:p>
    <w:p w14:paraId="0B4E8888">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项目类型：货物</w:t>
      </w:r>
    </w:p>
    <w:p w14:paraId="7A0F5470">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所属行业：工业</w:t>
      </w:r>
    </w:p>
    <w:p w14:paraId="7E7958DB">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预算金额：</w:t>
      </w:r>
      <w:r>
        <w:rPr>
          <w:rFonts w:hint="eastAsia" w:ascii="宋体" w:hAnsi="宋体" w:cs="宋体"/>
          <w:sz w:val="28"/>
          <w:szCs w:val="28"/>
          <w:lang w:val="en-US" w:eastAsia="zh-CN"/>
        </w:rPr>
        <w:t>10.80</w:t>
      </w:r>
      <w:r>
        <w:rPr>
          <w:rFonts w:hint="eastAsia" w:ascii="宋体" w:hAnsi="宋体" w:cs="宋体"/>
          <w:sz w:val="28"/>
          <w:szCs w:val="28"/>
        </w:rPr>
        <w:t>万元。</w:t>
      </w:r>
    </w:p>
    <w:p w14:paraId="6063B0DF">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最高限价：</w:t>
      </w:r>
      <w:r>
        <w:rPr>
          <w:rFonts w:hint="eastAsia" w:ascii="宋体" w:hAnsi="宋体" w:cs="宋体"/>
          <w:sz w:val="28"/>
          <w:szCs w:val="28"/>
          <w:lang w:val="en-US" w:eastAsia="zh-CN"/>
        </w:rPr>
        <w:t>10.80</w:t>
      </w:r>
      <w:r>
        <w:rPr>
          <w:rFonts w:hint="eastAsia" w:ascii="宋体" w:hAnsi="宋体" w:cs="宋体"/>
          <w:sz w:val="28"/>
          <w:szCs w:val="28"/>
        </w:rPr>
        <w:t>万元，</w:t>
      </w:r>
      <w:r>
        <w:rPr>
          <w:rFonts w:hint="eastAsia" w:ascii="宋体" w:hAnsi="宋体" w:cs="宋体"/>
          <w:sz w:val="28"/>
          <w:szCs w:val="28"/>
          <w:lang w:val="en-US" w:eastAsia="zh-CN"/>
        </w:rPr>
        <w:t>投标报价大于最高限价为无效报价。</w:t>
      </w:r>
    </w:p>
    <w:p w14:paraId="499101C5">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采购需求：详见采购文件，请仔细研究。</w:t>
      </w:r>
    </w:p>
    <w:p w14:paraId="37DF50B8">
      <w:pPr>
        <w:adjustRightInd w:val="0"/>
        <w:snapToGrid w:val="0"/>
        <w:spacing w:line="500" w:lineRule="exact"/>
        <w:ind w:firstLine="560" w:firstLineChars="200"/>
        <w:rPr>
          <w:rFonts w:ascii="宋体" w:hAnsi="宋体" w:cs="宋体"/>
          <w:sz w:val="28"/>
          <w:szCs w:val="28"/>
          <w:highlight w:val="yellow"/>
        </w:rPr>
      </w:pPr>
      <w:r>
        <w:rPr>
          <w:rFonts w:hint="eastAsia" w:ascii="宋体" w:hAnsi="宋体" w:cs="宋体"/>
          <w:sz w:val="28"/>
          <w:szCs w:val="28"/>
        </w:rPr>
        <w:t>合同履行期限：详见采购文件。</w:t>
      </w:r>
    </w:p>
    <w:p w14:paraId="54BC3155">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本项目不接受联合体。</w:t>
      </w:r>
    </w:p>
    <w:p w14:paraId="7A4FF5C2">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本项目不接受分包。</w:t>
      </w:r>
    </w:p>
    <w:p w14:paraId="646FED4F">
      <w:pPr>
        <w:adjustRightInd w:val="0"/>
        <w:snapToGrid w:val="0"/>
        <w:spacing w:line="500" w:lineRule="exact"/>
        <w:ind w:firstLine="560" w:firstLineChars="200"/>
        <w:rPr>
          <w:rFonts w:ascii="宋体" w:hAnsi="宋体" w:cs="宋体"/>
          <w:b/>
          <w:bCs/>
          <w:sz w:val="28"/>
          <w:szCs w:val="28"/>
        </w:rPr>
      </w:pPr>
      <w:bookmarkStart w:id="8" w:name="_Toc82505653"/>
      <w:r>
        <w:rPr>
          <w:rFonts w:hint="eastAsia" w:ascii="宋体" w:hAnsi="宋体" w:cs="宋体"/>
          <w:b/>
          <w:bCs/>
          <w:sz w:val="28"/>
          <w:szCs w:val="28"/>
        </w:rPr>
        <w:t>二、响应供应商的资格要求：</w:t>
      </w:r>
      <w:bookmarkEnd w:id="8"/>
    </w:p>
    <w:p w14:paraId="1D3CCB01">
      <w:pPr>
        <w:adjustRightInd w:val="0"/>
        <w:snapToGrid w:val="0"/>
        <w:spacing w:line="500" w:lineRule="exact"/>
        <w:ind w:firstLine="560" w:firstLineChars="200"/>
        <w:rPr>
          <w:rFonts w:hint="eastAsia" w:ascii="宋体" w:hAnsi="宋体" w:eastAsia="宋体" w:cs="宋体"/>
          <w:sz w:val="28"/>
          <w:szCs w:val="28"/>
          <w:lang w:val="en-US" w:eastAsia="zh-CN"/>
        </w:rPr>
      </w:pPr>
      <w:bookmarkStart w:id="9" w:name="_Toc82505654"/>
      <w:r>
        <w:rPr>
          <w:rFonts w:hint="eastAsia" w:ascii="宋体" w:hAnsi="宋体" w:eastAsia="宋体" w:cs="宋体"/>
          <w:sz w:val="28"/>
          <w:szCs w:val="28"/>
          <w:lang w:val="en-US" w:eastAsia="zh-CN"/>
        </w:rPr>
        <w:t>1.满足《中华人民共和国政府采购法》第二十二条规定。</w:t>
      </w:r>
    </w:p>
    <w:p w14:paraId="1E300DB2">
      <w:pPr>
        <w:adjustRightInd w:val="0"/>
        <w:snapToGrid w:val="0"/>
        <w:spacing w:line="5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2.落实政府采购政策需满足的资格要求：无。</w:t>
      </w:r>
    </w:p>
    <w:p w14:paraId="48C8B7C8">
      <w:pPr>
        <w:adjustRightInd w:val="0"/>
        <w:snapToGrid w:val="0"/>
        <w:spacing w:line="5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3.本项目的特定资格要求：</w:t>
      </w:r>
    </w:p>
    <w:p w14:paraId="7D676C11">
      <w:pPr>
        <w:adjustRightInd w:val="0"/>
        <w:snapToGrid w:val="0"/>
        <w:spacing w:line="5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（1）供应商应具备独立法人资格，具有合法的企业营业执照；</w:t>
      </w:r>
    </w:p>
    <w:p w14:paraId="14CBEF5B">
      <w:pPr>
        <w:adjustRightInd w:val="0"/>
        <w:snapToGrid w:val="0"/>
        <w:spacing w:line="5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（2）未被“信用中国”、“中国政府采购网”、“信用江苏”网站列入失信被执行人、重大税收违法案件当事人名单、政府采购严重违法失信行为记录名单(提供网页截图)； </w:t>
      </w:r>
    </w:p>
    <w:p w14:paraId="323A8BD6">
      <w:pPr>
        <w:adjustRightInd w:val="0"/>
        <w:snapToGrid w:val="0"/>
        <w:spacing w:line="50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（3）本项目招标不接受联合体投标。</w:t>
      </w:r>
    </w:p>
    <w:p w14:paraId="3A96978D">
      <w:pPr>
        <w:adjustRightInd w:val="0"/>
        <w:snapToGrid w:val="0"/>
        <w:spacing w:line="500" w:lineRule="exact"/>
        <w:ind w:firstLine="560" w:firstLineChars="200"/>
        <w:rPr>
          <w:rFonts w:ascii="宋体" w:hAnsi="宋体" w:cs="宋体"/>
          <w:b/>
          <w:bCs/>
          <w:sz w:val="28"/>
          <w:szCs w:val="28"/>
        </w:rPr>
      </w:pPr>
      <w:r>
        <w:rPr>
          <w:rFonts w:hint="eastAsia" w:ascii="宋体" w:hAnsi="宋体" w:cs="宋体"/>
          <w:b/>
          <w:bCs/>
          <w:sz w:val="28"/>
          <w:szCs w:val="28"/>
        </w:rPr>
        <w:t>三、获取采购文件</w:t>
      </w:r>
      <w:bookmarkEnd w:id="9"/>
    </w:p>
    <w:p w14:paraId="7DC8587D">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时间：202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01</w:t>
      </w:r>
      <w:r>
        <w:rPr>
          <w:rFonts w:hint="eastAsia" w:ascii="宋体" w:hAnsi="宋体" w:cs="宋体"/>
          <w:sz w:val="28"/>
          <w:szCs w:val="28"/>
        </w:rPr>
        <w:t>月</w:t>
      </w:r>
      <w:r>
        <w:rPr>
          <w:rFonts w:hint="eastAsia" w:ascii="宋体" w:hAnsi="宋体" w:cs="宋体"/>
          <w:sz w:val="28"/>
          <w:szCs w:val="28"/>
          <w:lang w:val="en-US" w:eastAsia="zh-CN"/>
        </w:rPr>
        <w:t>29</w:t>
      </w:r>
      <w:r>
        <w:rPr>
          <w:rFonts w:hint="eastAsia" w:ascii="宋体" w:hAnsi="宋体" w:cs="宋体"/>
          <w:sz w:val="28"/>
          <w:szCs w:val="28"/>
        </w:rPr>
        <w:t>日至202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02</w:t>
      </w:r>
      <w:r>
        <w:rPr>
          <w:rFonts w:hint="eastAsia" w:ascii="宋体" w:hAnsi="宋体" w:cs="宋体"/>
          <w:sz w:val="28"/>
          <w:szCs w:val="28"/>
        </w:rPr>
        <w:t>月</w:t>
      </w:r>
      <w:r>
        <w:rPr>
          <w:rFonts w:hint="eastAsia" w:ascii="宋体" w:hAnsi="宋体" w:cs="宋体"/>
          <w:sz w:val="28"/>
          <w:szCs w:val="28"/>
          <w:lang w:val="en-US" w:eastAsia="zh-CN"/>
        </w:rPr>
        <w:t>04</w:t>
      </w:r>
      <w:r>
        <w:rPr>
          <w:rFonts w:hint="eastAsia" w:ascii="宋体" w:hAnsi="宋体" w:cs="宋体"/>
          <w:sz w:val="28"/>
          <w:szCs w:val="28"/>
        </w:rPr>
        <w:t>日</w:t>
      </w:r>
    </w:p>
    <w:p w14:paraId="5DDFFD40">
      <w:pPr>
        <w:adjustRightInd w:val="0"/>
        <w:snapToGrid w:val="0"/>
        <w:spacing w:line="50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地点：</w:t>
      </w:r>
      <w:r>
        <w:rPr>
          <w:rFonts w:hint="eastAsia" w:ascii="宋体" w:hAnsi="宋体" w:cs="宋体"/>
          <w:sz w:val="28"/>
          <w:szCs w:val="28"/>
          <w:lang w:eastAsia="zh-CN"/>
        </w:rPr>
        <w:t>启东市城市水处理有限公司网站</w:t>
      </w:r>
    </w:p>
    <w:p w14:paraId="1DAFDD6C">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方式：凡有意参与响应的供应商请登录</w:t>
      </w:r>
      <w:r>
        <w:rPr>
          <w:rFonts w:hint="eastAsia" w:ascii="宋体" w:hAnsi="宋体" w:cs="宋体"/>
          <w:sz w:val="28"/>
          <w:szCs w:val="28"/>
          <w:lang w:eastAsia="zh-CN"/>
        </w:rPr>
        <w:t>启东市城市水处理有限公司网站</w:t>
      </w:r>
      <w:r>
        <w:rPr>
          <w:rFonts w:hint="eastAsia" w:ascii="宋体" w:hAnsi="宋体" w:cs="宋体"/>
          <w:sz w:val="28"/>
          <w:szCs w:val="28"/>
        </w:rPr>
        <w:t>首页→政府信息公开模块，并自行下载采购文件。</w:t>
      </w:r>
    </w:p>
    <w:p w14:paraId="11C61851">
      <w:pPr>
        <w:adjustRightInd w:val="0"/>
        <w:snapToGrid w:val="0"/>
        <w:spacing w:line="500" w:lineRule="exact"/>
        <w:ind w:firstLine="560" w:firstLineChars="200"/>
        <w:rPr>
          <w:rFonts w:ascii="宋体" w:hAnsi="宋体" w:cs="宋体"/>
          <w:b/>
          <w:bCs/>
          <w:sz w:val="28"/>
          <w:szCs w:val="28"/>
        </w:rPr>
      </w:pPr>
      <w:bookmarkStart w:id="10" w:name="_Toc82505655"/>
      <w:r>
        <w:rPr>
          <w:rFonts w:hint="eastAsia" w:ascii="宋体" w:hAnsi="宋体" w:cs="宋体"/>
          <w:b/>
          <w:bCs/>
          <w:sz w:val="28"/>
          <w:szCs w:val="28"/>
        </w:rPr>
        <w:t>四、响应文件提交</w:t>
      </w:r>
      <w:bookmarkEnd w:id="10"/>
    </w:p>
    <w:p w14:paraId="5F9F01AC">
      <w:pPr>
        <w:adjustRightInd w:val="0"/>
        <w:snapToGrid w:val="0"/>
        <w:spacing w:line="500" w:lineRule="exact"/>
        <w:ind w:firstLine="560" w:firstLineChars="200"/>
        <w:rPr>
          <w:rFonts w:ascii="宋体" w:hAnsi="宋体" w:cs="宋体"/>
          <w:color w:val="FF0000"/>
          <w:sz w:val="28"/>
          <w:szCs w:val="28"/>
        </w:rPr>
      </w:pPr>
      <w:bookmarkStart w:id="11" w:name="_Toc82505656"/>
      <w:r>
        <w:rPr>
          <w:rFonts w:hint="eastAsia" w:ascii="宋体" w:hAnsi="宋体" w:cs="宋体"/>
          <w:sz w:val="28"/>
          <w:szCs w:val="28"/>
        </w:rPr>
        <w:t>本项目为见面开标，各供应商须在规定时间内将投标文件于</w:t>
      </w:r>
      <w:r>
        <w:rPr>
          <w:rFonts w:hint="eastAsia" w:ascii="宋体" w:hAnsi="宋体" w:cs="宋体"/>
          <w:sz w:val="28"/>
          <w:szCs w:val="28"/>
          <w:lang w:val="en-US" w:eastAsia="zh-CN"/>
        </w:rPr>
        <w:t>2026</w:t>
      </w:r>
      <w:r>
        <w:rPr>
          <w:rFonts w:hint="eastAsia" w:ascii="宋体" w:hAnsi="宋体" w:cs="宋体"/>
          <w:sz w:val="28"/>
          <w:szCs w:val="28"/>
        </w:rPr>
        <w:t>年</w:t>
      </w:r>
      <w:r>
        <w:rPr>
          <w:rFonts w:hint="eastAsia" w:ascii="宋体" w:hAnsi="宋体" w:cs="宋体"/>
          <w:sz w:val="28"/>
          <w:szCs w:val="28"/>
          <w:lang w:val="en-US" w:eastAsia="zh-CN"/>
        </w:rPr>
        <w:t>02</w:t>
      </w:r>
      <w:r>
        <w:rPr>
          <w:rFonts w:hint="eastAsia" w:ascii="宋体" w:hAnsi="宋体" w:cs="宋体"/>
          <w:sz w:val="28"/>
          <w:szCs w:val="28"/>
        </w:rPr>
        <w:t>月</w:t>
      </w:r>
      <w:r>
        <w:rPr>
          <w:rFonts w:hint="eastAsia" w:ascii="宋体" w:hAnsi="宋体" w:cs="宋体"/>
          <w:sz w:val="28"/>
          <w:szCs w:val="28"/>
          <w:lang w:val="en-US" w:eastAsia="zh-CN"/>
        </w:rPr>
        <w:t>04</w:t>
      </w:r>
      <w:r>
        <w:rPr>
          <w:rFonts w:hint="eastAsia" w:ascii="宋体" w:hAnsi="宋体" w:cs="宋体"/>
          <w:sz w:val="28"/>
          <w:szCs w:val="28"/>
        </w:rPr>
        <w:t>日9点00分前密封送至启东城投集团有限公司（金沙江路672号）二楼开标室</w:t>
      </w:r>
      <w:r>
        <w:rPr>
          <w:rFonts w:hint="eastAsia" w:ascii="宋体" w:hAnsi="宋体" w:cs="宋体"/>
          <w:sz w:val="28"/>
          <w:szCs w:val="28"/>
          <w:highlight w:val="none"/>
        </w:rPr>
        <w:t>（只接受直接送达）</w:t>
      </w:r>
      <w:r>
        <w:rPr>
          <w:rFonts w:hint="eastAsia" w:ascii="宋体" w:hAnsi="宋体" w:cs="宋体"/>
          <w:sz w:val="28"/>
          <w:szCs w:val="28"/>
        </w:rPr>
        <w:t>，逾时则不予受理。</w:t>
      </w:r>
    </w:p>
    <w:p w14:paraId="24B46607">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友情提醒：拒绝接收未按照询价文件要求密封的投标文件，拒绝接收在投标文件接收截止时间后</w:t>
      </w:r>
      <w:r>
        <w:rPr>
          <w:rFonts w:hint="eastAsia" w:ascii="宋体" w:hAnsi="宋体" w:cs="宋体"/>
          <w:sz w:val="28"/>
          <w:szCs w:val="28"/>
          <w:lang w:val="en-US" w:eastAsia="zh-CN"/>
        </w:rPr>
        <w:t>送</w:t>
      </w:r>
      <w:r>
        <w:rPr>
          <w:rFonts w:hint="eastAsia" w:ascii="宋体" w:hAnsi="宋体" w:cs="宋体"/>
          <w:sz w:val="28"/>
          <w:szCs w:val="28"/>
        </w:rPr>
        <w:t>达（以送达签收时间为准）的投标文件，上述情况各潜在供应商充分考虑相关因素，不得就此提出任何异议。</w:t>
      </w:r>
    </w:p>
    <w:p w14:paraId="0B106E56">
      <w:pPr>
        <w:adjustRightInd w:val="0"/>
        <w:snapToGrid w:val="0"/>
        <w:spacing w:line="500" w:lineRule="exact"/>
        <w:ind w:firstLine="560" w:firstLineChars="200"/>
        <w:rPr>
          <w:rFonts w:ascii="宋体" w:hAnsi="宋体" w:cs="宋体"/>
          <w:b/>
          <w:bCs/>
          <w:sz w:val="28"/>
          <w:szCs w:val="28"/>
        </w:rPr>
      </w:pPr>
      <w:r>
        <w:rPr>
          <w:rFonts w:hint="eastAsia" w:ascii="宋体" w:hAnsi="宋体" w:cs="宋体"/>
          <w:b/>
          <w:bCs/>
          <w:sz w:val="28"/>
          <w:szCs w:val="28"/>
        </w:rPr>
        <w:t>五、开启</w:t>
      </w:r>
      <w:bookmarkEnd w:id="11"/>
    </w:p>
    <w:p w14:paraId="12613441">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时间：202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02</w:t>
      </w:r>
      <w:r>
        <w:rPr>
          <w:rFonts w:hint="eastAsia" w:ascii="宋体" w:hAnsi="宋体" w:cs="宋体"/>
          <w:sz w:val="28"/>
          <w:szCs w:val="28"/>
        </w:rPr>
        <w:t>月</w:t>
      </w:r>
      <w:r>
        <w:rPr>
          <w:rFonts w:hint="eastAsia" w:ascii="宋体" w:hAnsi="宋体" w:cs="宋体"/>
          <w:sz w:val="28"/>
          <w:szCs w:val="28"/>
          <w:lang w:val="en-US" w:eastAsia="zh-CN"/>
        </w:rPr>
        <w:t>04</w:t>
      </w:r>
      <w:r>
        <w:rPr>
          <w:rFonts w:hint="eastAsia" w:ascii="宋体" w:hAnsi="宋体" w:cs="宋体"/>
          <w:sz w:val="28"/>
          <w:szCs w:val="28"/>
        </w:rPr>
        <w:t>日9点00分（北京时间）</w:t>
      </w:r>
    </w:p>
    <w:p w14:paraId="629D0910">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开标地点：启东城投集团有限公司（金沙江路672号）二楼开标室</w:t>
      </w:r>
    </w:p>
    <w:p w14:paraId="5B286319">
      <w:pPr>
        <w:adjustRightInd w:val="0"/>
        <w:snapToGrid w:val="0"/>
        <w:spacing w:line="500" w:lineRule="exact"/>
        <w:ind w:firstLine="560" w:firstLineChars="200"/>
        <w:rPr>
          <w:rFonts w:ascii="宋体" w:hAnsi="宋体" w:cs="宋体"/>
          <w:b/>
          <w:bCs/>
          <w:sz w:val="28"/>
          <w:szCs w:val="28"/>
        </w:rPr>
      </w:pPr>
      <w:bookmarkStart w:id="12" w:name="_Toc82505657"/>
      <w:r>
        <w:rPr>
          <w:rFonts w:hint="eastAsia" w:ascii="宋体" w:hAnsi="宋体" w:cs="宋体"/>
          <w:b/>
          <w:bCs/>
          <w:sz w:val="28"/>
          <w:szCs w:val="28"/>
        </w:rPr>
        <w:t>六、公告期限</w:t>
      </w:r>
      <w:bookmarkEnd w:id="12"/>
    </w:p>
    <w:p w14:paraId="42513161">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自本公告发布之日起3个工作日。</w:t>
      </w:r>
    </w:p>
    <w:p w14:paraId="50BDB4FA">
      <w:pPr>
        <w:adjustRightInd w:val="0"/>
        <w:snapToGrid w:val="0"/>
        <w:spacing w:line="500" w:lineRule="exact"/>
        <w:ind w:firstLine="560" w:firstLineChars="200"/>
        <w:rPr>
          <w:rFonts w:ascii="宋体" w:hAnsi="宋体" w:cs="宋体"/>
          <w:b/>
          <w:bCs/>
          <w:sz w:val="28"/>
          <w:szCs w:val="28"/>
        </w:rPr>
      </w:pPr>
      <w:bookmarkStart w:id="13" w:name="_Toc82505658"/>
      <w:r>
        <w:rPr>
          <w:rFonts w:hint="eastAsia" w:ascii="宋体" w:hAnsi="宋体" w:cs="宋体"/>
          <w:b/>
          <w:bCs/>
          <w:sz w:val="28"/>
          <w:szCs w:val="28"/>
        </w:rPr>
        <w:t>七、其他补充事宜</w:t>
      </w:r>
      <w:bookmarkEnd w:id="13"/>
    </w:p>
    <w:p w14:paraId="1FD9F646">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1.响应保证金：本项目不收取投标保证金。</w:t>
      </w:r>
    </w:p>
    <w:p w14:paraId="615E25B8">
      <w:pPr>
        <w:adjustRightInd w:val="0"/>
        <w:snapToGrid w:val="0"/>
        <w:spacing w:line="500" w:lineRule="exact"/>
        <w:ind w:firstLine="560" w:firstLineChars="200"/>
        <w:rPr>
          <w:rFonts w:ascii="宋体" w:hAnsi="宋体" w:cs="宋体"/>
          <w:sz w:val="28"/>
          <w:szCs w:val="28"/>
          <w:highlight w:val="yellow"/>
        </w:rPr>
      </w:pPr>
      <w:r>
        <w:rPr>
          <w:rFonts w:hint="eastAsia" w:ascii="宋体" w:hAnsi="宋体" w:cs="宋体"/>
          <w:sz w:val="28"/>
          <w:szCs w:val="28"/>
        </w:rPr>
        <w:t>2.项目开标活动模式：见面开标模式。</w:t>
      </w:r>
    </w:p>
    <w:p w14:paraId="238E2129">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3.项目样品：无。</w:t>
      </w:r>
    </w:p>
    <w:p w14:paraId="548C0650">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4.对项目需求部分（供应商资格要求、项目需求）的询问、质疑请向采购人提出，由采购人负责答复；对项目采购文件其他部分的询问、质疑请向采购代理单位提出。</w:t>
      </w:r>
    </w:p>
    <w:p w14:paraId="5AAE2E18">
      <w:pPr>
        <w:adjustRightInd w:val="0"/>
        <w:snapToGrid w:val="0"/>
        <w:spacing w:line="500" w:lineRule="exact"/>
        <w:ind w:firstLine="560" w:firstLineChars="200"/>
        <w:rPr>
          <w:rFonts w:ascii="宋体" w:hAnsi="宋体" w:cs="宋体"/>
          <w:b/>
          <w:bCs/>
          <w:sz w:val="28"/>
          <w:szCs w:val="28"/>
        </w:rPr>
      </w:pPr>
      <w:bookmarkStart w:id="14" w:name="_Toc82505660"/>
      <w:r>
        <w:rPr>
          <w:rFonts w:hint="eastAsia" w:ascii="宋体" w:hAnsi="宋体" w:cs="宋体"/>
          <w:b/>
          <w:bCs/>
          <w:sz w:val="28"/>
          <w:szCs w:val="28"/>
        </w:rPr>
        <w:t>八、凡对本次采购提出询问，请按以下方式联系</w:t>
      </w:r>
      <w:bookmarkEnd w:id="14"/>
    </w:p>
    <w:p w14:paraId="045CABF2">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1.采购人信息</w:t>
      </w:r>
    </w:p>
    <w:p w14:paraId="53C89056">
      <w:pPr>
        <w:adjustRightInd w:val="0"/>
        <w:snapToGrid w:val="0"/>
        <w:spacing w:line="500" w:lineRule="exact"/>
        <w:ind w:firstLine="560" w:firstLineChars="200"/>
        <w:rPr>
          <w:rFonts w:hint="eastAsia" w:ascii="仿宋" w:hAnsi="仿宋" w:eastAsia="宋体" w:cs="仿宋_GB2312"/>
          <w:sz w:val="32"/>
          <w:szCs w:val="32"/>
          <w:lang w:eastAsia="zh-CN"/>
        </w:rPr>
      </w:pPr>
      <w:r>
        <w:rPr>
          <w:rFonts w:hint="eastAsia" w:ascii="宋体" w:hAnsi="宋体" w:cs="宋体"/>
          <w:sz w:val="28"/>
          <w:szCs w:val="28"/>
        </w:rPr>
        <w:t>名 称：</w:t>
      </w:r>
      <w:r>
        <w:rPr>
          <w:rFonts w:hint="eastAsia" w:ascii="宋体" w:hAnsi="宋体" w:cs="宋体"/>
          <w:sz w:val="28"/>
          <w:szCs w:val="28"/>
          <w:lang w:eastAsia="zh-CN"/>
        </w:rPr>
        <w:t>启东市城市水处理有限公司</w:t>
      </w:r>
    </w:p>
    <w:p w14:paraId="507B2E51">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地址：启东市经济开发区海洪路666号</w:t>
      </w:r>
    </w:p>
    <w:p w14:paraId="181F3669">
      <w:pPr>
        <w:adjustRightInd w:val="0"/>
        <w:snapToGrid w:val="0"/>
        <w:spacing w:line="500" w:lineRule="exact"/>
        <w:ind w:firstLine="560" w:firstLineChars="200"/>
        <w:rPr>
          <w:rFonts w:hint="eastAsia" w:ascii="宋体" w:hAnsi="宋体" w:cs="宋体"/>
          <w:sz w:val="28"/>
          <w:szCs w:val="28"/>
        </w:rPr>
      </w:pPr>
      <w:r>
        <w:rPr>
          <w:rFonts w:hint="eastAsia" w:ascii="宋体" w:hAnsi="宋体" w:cs="宋体"/>
          <w:sz w:val="28"/>
          <w:szCs w:val="28"/>
        </w:rPr>
        <w:t>联系人：顾女士</w:t>
      </w:r>
    </w:p>
    <w:p w14:paraId="2FB43821">
      <w:pPr>
        <w:adjustRightInd w:val="0"/>
        <w:snapToGrid w:val="0"/>
        <w:spacing w:line="500" w:lineRule="exact"/>
        <w:ind w:firstLine="560" w:firstLineChars="200"/>
        <w:rPr>
          <w:rFonts w:hint="eastAsia" w:ascii="宋体" w:hAnsi="宋体" w:cs="宋体"/>
          <w:sz w:val="28"/>
          <w:szCs w:val="28"/>
        </w:rPr>
      </w:pPr>
      <w:r>
        <w:rPr>
          <w:rFonts w:hint="eastAsia" w:ascii="宋体" w:hAnsi="宋体" w:cs="宋体"/>
          <w:sz w:val="28"/>
          <w:szCs w:val="28"/>
        </w:rPr>
        <w:t>联系方式：0513</w:t>
      </w:r>
      <w:r>
        <w:rPr>
          <w:rFonts w:hint="eastAsia" w:ascii="宋体" w:hAnsi="宋体" w:cs="宋体"/>
          <w:sz w:val="28"/>
          <w:szCs w:val="28"/>
          <w:lang w:val="en-US" w:eastAsia="zh-CN"/>
        </w:rPr>
        <w:t>-</w:t>
      </w:r>
      <w:r>
        <w:rPr>
          <w:rFonts w:hint="eastAsia" w:ascii="宋体" w:hAnsi="宋体" w:cs="宋体"/>
          <w:sz w:val="28"/>
          <w:szCs w:val="28"/>
        </w:rPr>
        <w:t>83630068</w:t>
      </w:r>
    </w:p>
    <w:p w14:paraId="2C337E54">
      <w:pPr>
        <w:adjustRightInd w:val="0"/>
        <w:snapToGrid w:val="0"/>
        <w:spacing w:line="50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采购代理机构</w:t>
      </w:r>
    </w:p>
    <w:p w14:paraId="47B47AE3">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名 称：江苏本源工程项目管理有限公司</w:t>
      </w:r>
    </w:p>
    <w:p w14:paraId="5F8453EA">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地  址：启东市汇龙镇江海中路544号鑫磊大厦六层</w:t>
      </w:r>
    </w:p>
    <w:p w14:paraId="2667C0C2">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联系人：杨欣婷</w:t>
      </w:r>
    </w:p>
    <w:p w14:paraId="6598982A">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联系方式：0513-83351266</w:t>
      </w:r>
    </w:p>
    <w:p w14:paraId="1797183F">
      <w:pPr>
        <w:spacing w:line="560" w:lineRule="exact"/>
        <w:ind w:firstLine="280"/>
        <w:rPr>
          <w:rFonts w:ascii="宋体" w:hAnsi="宋体" w:cs="宋体"/>
          <w:sz w:val="28"/>
          <w:szCs w:val="28"/>
        </w:rPr>
      </w:pPr>
    </w:p>
    <w:p w14:paraId="60EB6ECF">
      <w:pPr>
        <w:adjustRightInd w:val="0"/>
        <w:snapToGrid w:val="0"/>
        <w:spacing w:line="500" w:lineRule="exact"/>
        <w:ind w:firstLine="560" w:firstLineChars="200"/>
        <w:rPr>
          <w:rFonts w:ascii="宋体" w:hAnsi="宋体" w:cs="宋体"/>
          <w:b/>
          <w:bCs/>
          <w:sz w:val="28"/>
          <w:szCs w:val="28"/>
        </w:rPr>
      </w:pPr>
    </w:p>
    <w:p w14:paraId="61CBF386">
      <w:pPr>
        <w:adjustRightInd w:val="0"/>
        <w:snapToGrid w:val="0"/>
        <w:spacing w:line="500" w:lineRule="exact"/>
        <w:ind w:firstLine="560" w:firstLineChars="200"/>
        <w:rPr>
          <w:rFonts w:ascii="宋体" w:hAnsi="宋体" w:cs="宋体"/>
          <w:b/>
          <w:bCs/>
          <w:sz w:val="28"/>
          <w:szCs w:val="28"/>
        </w:rPr>
      </w:pPr>
    </w:p>
    <w:bookmarkEnd w:id="2"/>
    <w:bookmarkEnd w:id="3"/>
    <w:bookmarkEnd w:id="4"/>
    <w:bookmarkEnd w:id="5"/>
    <w:bookmarkEnd w:id="6"/>
    <w:p w14:paraId="527AB65B">
      <w:pPr>
        <w:adjustRightInd w:val="0"/>
        <w:snapToGrid w:val="0"/>
        <w:spacing w:line="500" w:lineRule="exact"/>
        <w:ind w:firstLine="360"/>
        <w:rPr>
          <w:rFonts w:ascii="宋体" w:hAnsi="宋体" w:cs="宋体"/>
          <w:bCs/>
          <w:sz w:val="36"/>
          <w:szCs w:val="36"/>
        </w:rPr>
      </w:pPr>
      <w:bookmarkStart w:id="15" w:name="_Toc22736"/>
      <w:bookmarkStart w:id="16" w:name="_Toc82505661"/>
      <w:r>
        <w:rPr>
          <w:rFonts w:hint="eastAsia" w:ascii="宋体" w:hAnsi="宋体" w:cs="宋体"/>
          <w:bCs/>
          <w:sz w:val="36"/>
          <w:szCs w:val="36"/>
        </w:rPr>
        <w:br w:type="page"/>
      </w:r>
    </w:p>
    <w:bookmarkEnd w:id="15"/>
    <w:bookmarkEnd w:id="16"/>
    <w:p w14:paraId="10B82673">
      <w:pPr>
        <w:pStyle w:val="2"/>
        <w:widowControl/>
        <w:adjustRightInd w:val="0"/>
        <w:snapToGrid w:val="0"/>
        <w:spacing w:before="0" w:after="0" w:line="500" w:lineRule="exact"/>
        <w:ind w:firstLine="360"/>
        <w:jc w:val="center"/>
        <w:rPr>
          <w:rFonts w:ascii="宋体" w:hAnsi="宋体" w:cs="宋体"/>
          <w:b w:val="0"/>
          <w:sz w:val="36"/>
          <w:szCs w:val="36"/>
        </w:rPr>
      </w:pPr>
      <w:bookmarkStart w:id="17" w:name="_Toc82505664"/>
      <w:bookmarkStart w:id="18" w:name="_Toc11926"/>
      <w:r>
        <w:rPr>
          <w:rFonts w:hint="eastAsia" w:ascii="宋体" w:hAnsi="宋体" w:cs="宋体"/>
          <w:b w:val="0"/>
          <w:sz w:val="36"/>
          <w:szCs w:val="36"/>
        </w:rPr>
        <w:t>第二部分  响应须知</w:t>
      </w:r>
      <w:bookmarkEnd w:id="17"/>
      <w:bookmarkEnd w:id="18"/>
    </w:p>
    <w:p w14:paraId="4F3D1297">
      <w:pPr>
        <w:widowControl/>
        <w:adjustRightInd w:val="0"/>
        <w:snapToGrid w:val="0"/>
        <w:spacing w:line="500" w:lineRule="exact"/>
        <w:ind w:firstLine="281"/>
        <w:jc w:val="left"/>
        <w:rPr>
          <w:rFonts w:ascii="宋体" w:hAnsi="宋体" w:cs="宋体"/>
          <w:b/>
          <w:bCs/>
          <w:sz w:val="28"/>
          <w:szCs w:val="28"/>
        </w:rPr>
      </w:pPr>
      <w:r>
        <w:rPr>
          <w:rFonts w:hint="eastAsia" w:ascii="宋体" w:hAnsi="宋体" w:cs="宋体"/>
          <w:b/>
          <w:bCs/>
          <w:sz w:val="28"/>
          <w:szCs w:val="28"/>
        </w:rPr>
        <w:t>一、总则</w:t>
      </w:r>
    </w:p>
    <w:p w14:paraId="6EBCFA14">
      <w:pPr>
        <w:adjustRightInd w:val="0"/>
        <w:snapToGrid w:val="0"/>
        <w:spacing w:line="500" w:lineRule="exact"/>
        <w:ind w:firstLine="560" w:firstLineChars="200"/>
        <w:rPr>
          <w:rFonts w:ascii="宋体" w:hAnsi="宋体" w:cs="宋体"/>
          <w:sz w:val="28"/>
          <w:szCs w:val="28"/>
        </w:rPr>
      </w:pPr>
      <w:bookmarkStart w:id="19" w:name="_Toc458694821"/>
      <w:bookmarkStart w:id="20" w:name="_Toc16938520"/>
      <w:bookmarkStart w:id="21" w:name="_Toc20823276"/>
      <w:bookmarkStart w:id="22" w:name="_Toc513029204"/>
      <w:r>
        <w:rPr>
          <w:rFonts w:hint="eastAsia" w:ascii="宋体" w:hAnsi="宋体" w:cs="宋体"/>
          <w:sz w:val="28"/>
          <w:szCs w:val="28"/>
        </w:rPr>
        <w:t>1</w:t>
      </w:r>
      <w:bookmarkEnd w:id="19"/>
      <w:r>
        <w:rPr>
          <w:rFonts w:hint="eastAsia" w:ascii="宋体" w:hAnsi="宋体" w:cs="宋体"/>
          <w:sz w:val="28"/>
          <w:szCs w:val="28"/>
        </w:rPr>
        <w:t>.采购方式</w:t>
      </w:r>
      <w:bookmarkEnd w:id="20"/>
      <w:bookmarkEnd w:id="21"/>
      <w:bookmarkEnd w:id="22"/>
    </w:p>
    <w:p w14:paraId="65D647C8">
      <w:pPr>
        <w:adjustRightInd w:val="0"/>
        <w:snapToGrid w:val="0"/>
        <w:spacing w:line="500" w:lineRule="exact"/>
        <w:ind w:firstLine="840" w:firstLineChars="300"/>
        <w:rPr>
          <w:rFonts w:ascii="宋体" w:hAnsi="宋体" w:cs="宋体"/>
          <w:sz w:val="28"/>
          <w:szCs w:val="28"/>
        </w:rPr>
      </w:pPr>
      <w:r>
        <w:rPr>
          <w:rFonts w:hint="eastAsia" w:ascii="宋体" w:hAnsi="宋体" w:cs="宋体"/>
          <w:sz w:val="28"/>
          <w:szCs w:val="28"/>
        </w:rPr>
        <w:t>本次采购采取询价方式，本询价文件仅适用于询价公告中所述项目。</w:t>
      </w:r>
    </w:p>
    <w:p w14:paraId="0294E076">
      <w:pPr>
        <w:adjustRightInd w:val="0"/>
        <w:snapToGrid w:val="0"/>
        <w:spacing w:line="500" w:lineRule="exact"/>
        <w:ind w:firstLine="560" w:firstLineChars="200"/>
        <w:rPr>
          <w:rFonts w:ascii="宋体" w:hAnsi="宋体" w:cs="宋体"/>
          <w:sz w:val="28"/>
          <w:szCs w:val="28"/>
        </w:rPr>
      </w:pPr>
      <w:bookmarkStart w:id="23" w:name="_Toc20823277"/>
      <w:bookmarkStart w:id="24" w:name="_Toc513029205"/>
      <w:bookmarkStart w:id="25" w:name="_Toc16938521"/>
      <w:r>
        <w:rPr>
          <w:rFonts w:hint="eastAsia" w:ascii="宋体" w:hAnsi="宋体" w:cs="宋体"/>
          <w:sz w:val="28"/>
          <w:szCs w:val="28"/>
        </w:rPr>
        <w:t>2.合格的</w:t>
      </w:r>
      <w:bookmarkEnd w:id="23"/>
      <w:bookmarkEnd w:id="24"/>
      <w:bookmarkEnd w:id="25"/>
      <w:r>
        <w:rPr>
          <w:rFonts w:hint="eastAsia" w:ascii="宋体" w:hAnsi="宋体" w:cs="宋体"/>
          <w:sz w:val="28"/>
          <w:szCs w:val="28"/>
        </w:rPr>
        <w:t>响应供应商</w:t>
      </w:r>
    </w:p>
    <w:p w14:paraId="5F61173E">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2.1满足询价公告中供应商资格要求的规定。</w:t>
      </w:r>
    </w:p>
    <w:p w14:paraId="2A32A10A">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2.2 满足本文件实质性条款的规定。</w:t>
      </w:r>
    </w:p>
    <w:p w14:paraId="666EE5C5">
      <w:pPr>
        <w:adjustRightInd w:val="0"/>
        <w:snapToGrid w:val="0"/>
        <w:spacing w:line="500" w:lineRule="exact"/>
        <w:ind w:firstLine="560" w:firstLineChars="200"/>
        <w:rPr>
          <w:rFonts w:ascii="宋体" w:hAnsi="宋体" w:cs="宋体"/>
          <w:sz w:val="28"/>
          <w:szCs w:val="28"/>
        </w:rPr>
      </w:pPr>
      <w:bookmarkStart w:id="26" w:name="_Toc20823278"/>
      <w:bookmarkStart w:id="27" w:name="_Toc16938522"/>
      <w:bookmarkStart w:id="28" w:name="_Toc513029206"/>
      <w:r>
        <w:rPr>
          <w:rFonts w:hint="eastAsia" w:ascii="宋体" w:hAnsi="宋体" w:cs="宋体"/>
          <w:sz w:val="28"/>
          <w:szCs w:val="28"/>
        </w:rPr>
        <w:t>3.适用法律</w:t>
      </w:r>
      <w:bookmarkEnd w:id="26"/>
      <w:bookmarkEnd w:id="27"/>
      <w:bookmarkEnd w:id="28"/>
    </w:p>
    <w:p w14:paraId="11E5593F">
      <w:pPr>
        <w:adjustRightInd w:val="0"/>
        <w:snapToGrid w:val="0"/>
        <w:spacing w:line="500" w:lineRule="exact"/>
        <w:ind w:firstLine="840" w:firstLineChars="300"/>
        <w:rPr>
          <w:rFonts w:ascii="宋体" w:hAnsi="宋体" w:cs="宋体"/>
          <w:sz w:val="28"/>
          <w:szCs w:val="28"/>
        </w:rPr>
      </w:pPr>
      <w:r>
        <w:rPr>
          <w:rFonts w:hint="eastAsia" w:ascii="宋体" w:hAnsi="宋体" w:cs="宋体"/>
          <w:sz w:val="28"/>
          <w:szCs w:val="28"/>
        </w:rPr>
        <w:t>本次询价采购及由此产生的合同受中华人民共和国有关的法律法规制约和保护。</w:t>
      </w:r>
    </w:p>
    <w:p w14:paraId="3C61195D">
      <w:pPr>
        <w:adjustRightInd w:val="0"/>
        <w:snapToGrid w:val="0"/>
        <w:spacing w:line="500" w:lineRule="exact"/>
        <w:ind w:firstLine="560" w:firstLineChars="200"/>
        <w:rPr>
          <w:rFonts w:ascii="宋体" w:hAnsi="宋体" w:cs="宋体"/>
          <w:sz w:val="28"/>
          <w:szCs w:val="28"/>
        </w:rPr>
      </w:pPr>
      <w:bookmarkStart w:id="29" w:name="_Toc16938523"/>
      <w:bookmarkStart w:id="30" w:name="_Toc462564067"/>
      <w:bookmarkStart w:id="31" w:name="_Toc20823279"/>
      <w:bookmarkStart w:id="32" w:name="_Toc513029207"/>
      <w:r>
        <w:rPr>
          <w:rFonts w:hint="eastAsia" w:ascii="宋体" w:hAnsi="宋体" w:cs="宋体"/>
          <w:sz w:val="28"/>
          <w:szCs w:val="28"/>
        </w:rPr>
        <w:t>4.响应费用</w:t>
      </w:r>
      <w:bookmarkEnd w:id="29"/>
      <w:bookmarkEnd w:id="30"/>
      <w:bookmarkEnd w:id="31"/>
      <w:bookmarkEnd w:id="32"/>
    </w:p>
    <w:p w14:paraId="695CE14D">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响应供应商应自行承担所有与参加响应有关的费用，无论响应过程中的做法和结果如何，采购人在任何情况下均无义务和责任承担这些费用。</w:t>
      </w:r>
    </w:p>
    <w:p w14:paraId="24E23388">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5.采购文件的约束力</w:t>
      </w:r>
    </w:p>
    <w:p w14:paraId="257DAA61">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响应供应商一旦参加本项目采购活动，即被认为接受了本询价采购文件的规定和约束。</w:t>
      </w:r>
    </w:p>
    <w:p w14:paraId="70D24564">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6.采购文件的解释</w:t>
      </w:r>
    </w:p>
    <w:p w14:paraId="7EA81F48">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本采购文件仅适用于本次询价采购，项目需求部分（供应商资格要求、项目需求）由采购人解释，其他部分由采购代理单位解释。</w:t>
      </w:r>
    </w:p>
    <w:p w14:paraId="3124735E">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7.报价要求</w:t>
      </w:r>
    </w:p>
    <w:p w14:paraId="5DBDB9AA">
      <w:pPr>
        <w:adjustRightInd w:val="0"/>
        <w:snapToGrid w:val="0"/>
        <w:spacing w:line="500" w:lineRule="exact"/>
        <w:ind w:firstLine="560" w:firstLineChars="200"/>
        <w:rPr>
          <w:rFonts w:hint="eastAsia" w:ascii="宋体" w:hAnsi="宋体" w:cs="宋体"/>
          <w:color w:val="auto"/>
          <w:sz w:val="28"/>
          <w:szCs w:val="28"/>
        </w:rPr>
      </w:pPr>
      <w:r>
        <w:rPr>
          <w:rFonts w:hint="eastAsia" w:ascii="宋体" w:hAnsi="宋体" w:cs="宋体"/>
          <w:color w:val="auto"/>
          <w:sz w:val="28"/>
          <w:szCs w:val="28"/>
        </w:rPr>
        <w:t>7.1询价为一次性报价，供应商的投标报价应完成本项目所确定的货物清单中的全部货物和服务所发生的费用,供应商的报价采用全费用综合单价报价方式，求和条件作出实质性响应。否则，按照不响应处理。</w:t>
      </w:r>
    </w:p>
    <w:p w14:paraId="2BCA890C">
      <w:pPr>
        <w:adjustRightInd w:val="0"/>
        <w:snapToGrid w:val="0"/>
        <w:spacing w:line="500" w:lineRule="exact"/>
        <w:ind w:firstLine="560" w:firstLineChars="200"/>
        <w:rPr>
          <w:rFonts w:ascii="宋体" w:hAnsi="宋体" w:cs="宋体"/>
          <w:sz w:val="28"/>
          <w:szCs w:val="28"/>
        </w:rPr>
      </w:pPr>
      <w:r>
        <w:rPr>
          <w:rFonts w:hint="eastAsia" w:ascii="宋体" w:hAnsi="宋体" w:cs="宋体"/>
          <w:color w:val="auto"/>
          <w:sz w:val="28"/>
          <w:szCs w:val="28"/>
        </w:rPr>
        <w:t>7.2采购人不接受任何可选择的报价，成交供应商不得在供货期间提出任何增加费用的要求。请各供应商在报价时充分考虑各种</w:t>
      </w:r>
      <w:r>
        <w:rPr>
          <w:rFonts w:hint="eastAsia" w:ascii="宋体" w:hAnsi="宋体" w:cs="宋体"/>
          <w:sz w:val="28"/>
          <w:szCs w:val="28"/>
        </w:rPr>
        <w:t>因素。</w:t>
      </w:r>
    </w:p>
    <w:p w14:paraId="68428214">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7.3询价小组认为响应供应商的报价明显低于其他通过资格性、符合性审查响应供应商的报价，有可能影响产品质量或者不能诚信履约的，将要求其在合理的时间内提供说明，必要时提交相关证明材料；响应供应商不能证明其报价合理性的，询价小组应当将其作为无效响应处理。</w:t>
      </w:r>
    </w:p>
    <w:p w14:paraId="52FA1C3D">
      <w:pPr>
        <w:widowControl/>
        <w:adjustRightInd w:val="0"/>
        <w:snapToGrid w:val="0"/>
        <w:spacing w:line="500" w:lineRule="exact"/>
        <w:ind w:firstLine="281"/>
        <w:jc w:val="left"/>
        <w:rPr>
          <w:rFonts w:ascii="宋体" w:hAnsi="宋体" w:cs="宋体"/>
          <w:b/>
          <w:bCs/>
          <w:sz w:val="28"/>
          <w:szCs w:val="28"/>
        </w:rPr>
      </w:pPr>
      <w:r>
        <w:rPr>
          <w:rFonts w:hint="eastAsia" w:ascii="宋体" w:hAnsi="宋体" w:cs="宋体"/>
          <w:b/>
          <w:bCs/>
          <w:sz w:val="28"/>
          <w:szCs w:val="28"/>
        </w:rPr>
        <w:t>二、采购文件</w:t>
      </w:r>
    </w:p>
    <w:p w14:paraId="2DFF1BDA">
      <w:pPr>
        <w:widowControl/>
        <w:adjustRightInd w:val="0"/>
        <w:snapToGrid w:val="0"/>
        <w:spacing w:line="500" w:lineRule="exact"/>
        <w:ind w:firstLine="560" w:firstLineChars="200"/>
        <w:jc w:val="left"/>
        <w:rPr>
          <w:rFonts w:ascii="宋体" w:hAnsi="宋体" w:cs="宋体"/>
          <w:sz w:val="28"/>
          <w:szCs w:val="28"/>
        </w:rPr>
      </w:pPr>
      <w:r>
        <w:rPr>
          <w:rFonts w:hint="eastAsia" w:ascii="宋体" w:hAnsi="宋体" w:cs="宋体"/>
          <w:sz w:val="28"/>
          <w:szCs w:val="28"/>
        </w:rPr>
        <w:t>1.采购文件的构成</w:t>
      </w:r>
    </w:p>
    <w:p w14:paraId="7DDBD018">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1.1 采购文件由以下部分组成：</w:t>
      </w:r>
    </w:p>
    <w:p w14:paraId="6F536F91">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（1）询价采购公告</w:t>
      </w:r>
    </w:p>
    <w:p w14:paraId="3A7414A2">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（2）响应须知</w:t>
      </w:r>
    </w:p>
    <w:p w14:paraId="72714093">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（3）项目需求</w:t>
      </w:r>
    </w:p>
    <w:p w14:paraId="32183FC5">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（4）响应文件组成</w:t>
      </w:r>
    </w:p>
    <w:p w14:paraId="5EF4C2A5">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（5）附件</w:t>
      </w:r>
    </w:p>
    <w:p w14:paraId="7D397A5D">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请响应供应商仔细检查采购文件是否齐全，如有缺漏请立即与采购单位联系解决。</w:t>
      </w:r>
    </w:p>
    <w:p w14:paraId="35348C19">
      <w:pPr>
        <w:adjustRightInd w:val="0"/>
        <w:snapToGrid w:val="0"/>
        <w:spacing w:line="500" w:lineRule="exact"/>
        <w:ind w:firstLine="560" w:firstLineChars="200"/>
        <w:rPr>
          <w:rFonts w:ascii="宋体" w:hAnsi="宋体" w:cs="宋体"/>
          <w:sz w:val="28"/>
          <w:szCs w:val="28"/>
        </w:rPr>
      </w:pPr>
      <w:r>
        <w:rPr>
          <w:rFonts w:hint="eastAsia" w:ascii="宋体" w:hAnsi="宋体" w:cs="宋体"/>
          <w:bCs/>
          <w:sz w:val="28"/>
          <w:szCs w:val="28"/>
        </w:rPr>
        <w:t>1.2</w:t>
      </w:r>
      <w:r>
        <w:rPr>
          <w:rFonts w:hint="eastAsia" w:ascii="宋体" w:hAnsi="宋体" w:cs="宋体"/>
          <w:sz w:val="28"/>
          <w:szCs w:val="28"/>
        </w:rPr>
        <w:t>响应供应商应认真阅读采购文件中所有的事项、格式、条款和规范等要求，按采购文件要求和规定编制响应文件，并保证所提供的全部资料的真实性，以使其响应文件对采购文件做出实质性响应，否则其风险由响应供应商自行承担。</w:t>
      </w:r>
    </w:p>
    <w:p w14:paraId="7EAA7BCE">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2.询价采购文件的澄清</w:t>
      </w:r>
    </w:p>
    <w:p w14:paraId="45E9F8E1">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任何要求对采购文件进行澄清的响应供应商，应在响应截止期3日前按询价采购公告中的通讯地址，以书面形式通知采购人。采购人有权对发出的采购文件进行必要的澄清或修改。</w:t>
      </w:r>
    </w:p>
    <w:p w14:paraId="0075C01F">
      <w:pPr>
        <w:adjustRightInd w:val="0"/>
        <w:snapToGrid w:val="0"/>
        <w:spacing w:line="500" w:lineRule="exact"/>
        <w:ind w:firstLine="560" w:firstLineChars="200"/>
        <w:rPr>
          <w:rFonts w:ascii="宋体" w:hAnsi="宋体" w:cs="宋体"/>
          <w:sz w:val="28"/>
          <w:szCs w:val="28"/>
        </w:rPr>
      </w:pPr>
      <w:bookmarkStart w:id="33" w:name="_Toc513029212"/>
      <w:bookmarkStart w:id="34" w:name="_Toc462564071"/>
      <w:bookmarkStart w:id="35" w:name="_Toc20823284"/>
      <w:bookmarkStart w:id="36" w:name="_Toc16938528"/>
      <w:r>
        <w:rPr>
          <w:rFonts w:hint="eastAsia" w:ascii="宋体" w:hAnsi="宋体" w:cs="宋体"/>
          <w:sz w:val="28"/>
          <w:szCs w:val="28"/>
        </w:rPr>
        <w:t>3.询价采购文件的修改</w:t>
      </w:r>
      <w:bookmarkEnd w:id="33"/>
      <w:bookmarkEnd w:id="34"/>
      <w:bookmarkEnd w:id="35"/>
      <w:bookmarkEnd w:id="36"/>
    </w:p>
    <w:p w14:paraId="2E6AF34D">
      <w:pPr>
        <w:adjustRightInd w:val="0"/>
        <w:snapToGrid w:val="0"/>
        <w:spacing w:line="500" w:lineRule="exact"/>
        <w:ind w:firstLine="560" w:firstLineChars="200"/>
        <w:rPr>
          <w:rFonts w:ascii="宋体" w:hAnsi="宋体" w:cs="宋体"/>
          <w:sz w:val="28"/>
          <w:szCs w:val="28"/>
        </w:rPr>
      </w:pPr>
      <w:r>
        <w:rPr>
          <w:rFonts w:hint="eastAsia" w:ascii="宋体" w:hAnsi="宋体" w:cs="宋体"/>
          <w:bCs/>
          <w:sz w:val="28"/>
          <w:szCs w:val="28"/>
        </w:rPr>
        <w:t>3.1</w:t>
      </w:r>
      <w:r>
        <w:rPr>
          <w:rFonts w:hint="eastAsia" w:ascii="宋体" w:hAnsi="宋体" w:cs="宋体"/>
          <w:sz w:val="28"/>
          <w:szCs w:val="28"/>
        </w:rPr>
        <w:t>在响应截止时间前，采购人可以对采购文件进行修改。</w:t>
      </w:r>
    </w:p>
    <w:p w14:paraId="4F3D4956">
      <w:pPr>
        <w:adjustRightInd w:val="0"/>
        <w:snapToGrid w:val="0"/>
        <w:spacing w:line="500" w:lineRule="exact"/>
        <w:ind w:firstLine="560" w:firstLineChars="200"/>
        <w:rPr>
          <w:rFonts w:ascii="宋体" w:hAnsi="宋体" w:cs="宋体"/>
          <w:sz w:val="28"/>
          <w:szCs w:val="28"/>
        </w:rPr>
      </w:pPr>
      <w:r>
        <w:rPr>
          <w:rFonts w:hint="eastAsia" w:ascii="宋体" w:hAnsi="宋体" w:cs="宋体"/>
          <w:bCs/>
          <w:sz w:val="28"/>
          <w:szCs w:val="28"/>
        </w:rPr>
        <w:t>3.2 采购人</w:t>
      </w:r>
      <w:r>
        <w:rPr>
          <w:rFonts w:hint="eastAsia" w:ascii="宋体" w:hAnsi="宋体" w:cs="宋体"/>
          <w:sz w:val="28"/>
          <w:szCs w:val="28"/>
        </w:rPr>
        <w:t>有权按照法定的要求推迟响应截止日期和开标日期。</w:t>
      </w:r>
    </w:p>
    <w:p w14:paraId="1D15DD8E">
      <w:pPr>
        <w:adjustRightInd w:val="0"/>
        <w:snapToGrid w:val="0"/>
        <w:spacing w:line="500" w:lineRule="exact"/>
        <w:ind w:firstLine="560" w:firstLineChars="200"/>
        <w:rPr>
          <w:rFonts w:ascii="宋体" w:hAnsi="宋体" w:cs="宋体"/>
          <w:sz w:val="28"/>
          <w:szCs w:val="28"/>
        </w:rPr>
      </w:pPr>
      <w:r>
        <w:rPr>
          <w:rFonts w:hint="eastAsia" w:ascii="宋体" w:hAnsi="宋体" w:cs="宋体"/>
          <w:bCs/>
          <w:sz w:val="28"/>
          <w:szCs w:val="28"/>
        </w:rPr>
        <w:t xml:space="preserve">3.3 </w:t>
      </w:r>
      <w:r>
        <w:rPr>
          <w:rFonts w:hint="eastAsia" w:ascii="宋体" w:hAnsi="宋体" w:cs="宋体"/>
          <w:sz w:val="28"/>
          <w:szCs w:val="28"/>
        </w:rPr>
        <w:t>采购文件的修改将在</w:t>
      </w:r>
      <w:r>
        <w:rPr>
          <w:rFonts w:hint="eastAsia" w:ascii="宋体" w:hAnsi="宋体" w:cs="宋体"/>
          <w:sz w:val="28"/>
          <w:szCs w:val="28"/>
          <w:lang w:eastAsia="zh-CN"/>
        </w:rPr>
        <w:t>启东市城市水处理有限公司网站</w:t>
      </w:r>
      <w:r>
        <w:rPr>
          <w:rFonts w:hint="eastAsia" w:ascii="宋体" w:hAnsi="宋体" w:cs="宋体"/>
          <w:sz w:val="28"/>
          <w:szCs w:val="28"/>
        </w:rPr>
        <w:t>公布，补充文件将作为采购文件的组成部分，并对响应供应商具有约束力，请供应商及时关注网站公告信息。</w:t>
      </w:r>
    </w:p>
    <w:p w14:paraId="5A7E6E52">
      <w:pPr>
        <w:widowControl/>
        <w:adjustRightInd w:val="0"/>
        <w:snapToGrid w:val="0"/>
        <w:spacing w:line="500" w:lineRule="exact"/>
        <w:ind w:firstLine="281"/>
        <w:jc w:val="left"/>
        <w:rPr>
          <w:rFonts w:ascii="宋体" w:hAnsi="宋体" w:cs="宋体"/>
          <w:b/>
          <w:bCs/>
          <w:sz w:val="28"/>
          <w:szCs w:val="28"/>
        </w:rPr>
      </w:pPr>
      <w:r>
        <w:rPr>
          <w:rFonts w:hint="eastAsia" w:ascii="宋体" w:hAnsi="宋体" w:cs="宋体"/>
          <w:b/>
          <w:bCs/>
          <w:sz w:val="28"/>
          <w:szCs w:val="28"/>
        </w:rPr>
        <w:t>三、响应文件的编制</w:t>
      </w:r>
    </w:p>
    <w:p w14:paraId="671EB166">
      <w:pPr>
        <w:adjustRightInd w:val="0"/>
        <w:snapToGrid w:val="0"/>
        <w:spacing w:line="500" w:lineRule="exact"/>
        <w:ind w:firstLine="560" w:firstLineChars="200"/>
        <w:rPr>
          <w:rFonts w:ascii="宋体" w:hAnsi="宋体" w:cs="宋体"/>
          <w:bCs/>
          <w:sz w:val="28"/>
          <w:szCs w:val="28"/>
        </w:rPr>
      </w:pPr>
      <w:bookmarkStart w:id="37" w:name="_Toc20823286"/>
      <w:bookmarkStart w:id="38" w:name="_Toc16938530"/>
      <w:bookmarkStart w:id="39" w:name="_Toc462564073"/>
      <w:bookmarkStart w:id="40" w:name="_Toc513029214"/>
      <w:r>
        <w:rPr>
          <w:rFonts w:hint="eastAsia" w:ascii="宋体" w:hAnsi="宋体" w:cs="宋体"/>
          <w:bCs/>
          <w:sz w:val="28"/>
          <w:szCs w:val="28"/>
        </w:rPr>
        <w:t>1.响应文件的语言及度量衡单位</w:t>
      </w:r>
      <w:bookmarkEnd w:id="37"/>
      <w:bookmarkEnd w:id="38"/>
      <w:bookmarkEnd w:id="39"/>
      <w:bookmarkEnd w:id="40"/>
    </w:p>
    <w:p w14:paraId="2F5E1520">
      <w:pPr>
        <w:adjustRightInd w:val="0"/>
        <w:snapToGrid w:val="0"/>
        <w:spacing w:line="500" w:lineRule="exact"/>
        <w:ind w:firstLine="560" w:firstLineChars="200"/>
        <w:rPr>
          <w:rFonts w:ascii="宋体" w:hAnsi="宋体" w:cs="宋体"/>
          <w:bCs/>
          <w:sz w:val="28"/>
          <w:szCs w:val="28"/>
        </w:rPr>
      </w:pPr>
      <w:r>
        <w:rPr>
          <w:rFonts w:hint="eastAsia" w:ascii="宋体" w:hAnsi="宋体" w:cs="宋体"/>
          <w:bCs/>
          <w:sz w:val="28"/>
          <w:szCs w:val="28"/>
        </w:rPr>
        <w:t>1.1 响应供应商提交的响应文件以及响应供应商与采购单位就有关响应的所有来往通知、函件和文件均应使用简体中文。</w:t>
      </w:r>
    </w:p>
    <w:p w14:paraId="41BADFA1">
      <w:pPr>
        <w:adjustRightInd w:val="0"/>
        <w:snapToGrid w:val="0"/>
        <w:spacing w:line="500" w:lineRule="exact"/>
        <w:ind w:firstLine="560" w:firstLineChars="200"/>
        <w:rPr>
          <w:rFonts w:ascii="宋体" w:hAnsi="宋体" w:cs="宋体"/>
          <w:bCs/>
          <w:sz w:val="28"/>
          <w:szCs w:val="28"/>
        </w:rPr>
      </w:pPr>
      <w:r>
        <w:rPr>
          <w:rFonts w:hint="eastAsia" w:ascii="宋体" w:hAnsi="宋体" w:cs="宋体"/>
          <w:bCs/>
          <w:sz w:val="28"/>
          <w:szCs w:val="28"/>
        </w:rPr>
        <w:t>1.2 除技术性能另有规定外，响应文件所使用的度量衡单位，均须采用国家法定计量单位。</w:t>
      </w:r>
    </w:p>
    <w:p w14:paraId="6E8BB01C">
      <w:pPr>
        <w:adjustRightInd w:val="0"/>
        <w:snapToGrid w:val="0"/>
        <w:spacing w:line="500" w:lineRule="exact"/>
        <w:ind w:firstLine="560" w:firstLineChars="200"/>
        <w:rPr>
          <w:rFonts w:ascii="宋体" w:hAnsi="宋体" w:cs="宋体"/>
          <w:bCs/>
          <w:sz w:val="28"/>
          <w:szCs w:val="28"/>
        </w:rPr>
      </w:pPr>
      <w:bookmarkStart w:id="41" w:name="_Toc513029215"/>
      <w:bookmarkStart w:id="42" w:name="_Toc462564074"/>
      <w:bookmarkStart w:id="43" w:name="_Toc16938531"/>
      <w:bookmarkStart w:id="44" w:name="_Toc20823287"/>
      <w:r>
        <w:rPr>
          <w:rFonts w:hint="eastAsia" w:ascii="宋体" w:hAnsi="宋体" w:cs="宋体"/>
          <w:bCs/>
          <w:sz w:val="28"/>
          <w:szCs w:val="28"/>
        </w:rPr>
        <w:t>2.响应文件构成</w:t>
      </w:r>
      <w:bookmarkEnd w:id="41"/>
      <w:bookmarkEnd w:id="42"/>
      <w:bookmarkEnd w:id="43"/>
      <w:bookmarkEnd w:id="44"/>
    </w:p>
    <w:p w14:paraId="2D767891">
      <w:pPr>
        <w:adjustRightInd w:val="0"/>
        <w:snapToGrid w:val="0"/>
        <w:spacing w:line="500" w:lineRule="exact"/>
        <w:ind w:firstLine="560" w:firstLineChars="200"/>
        <w:rPr>
          <w:rFonts w:ascii="宋体" w:hAnsi="宋体" w:cs="宋体"/>
          <w:bCs/>
          <w:sz w:val="28"/>
          <w:szCs w:val="28"/>
        </w:rPr>
      </w:pPr>
      <w:r>
        <w:rPr>
          <w:rFonts w:hint="eastAsia" w:ascii="宋体" w:hAnsi="宋体" w:cs="宋体"/>
          <w:bCs/>
          <w:sz w:val="28"/>
          <w:szCs w:val="28"/>
        </w:rPr>
        <w:t>响应供应商应按“第四部分响应文件组成”要求编写响应文件。</w:t>
      </w:r>
    </w:p>
    <w:p w14:paraId="1FE7FEA9">
      <w:pPr>
        <w:adjustRightInd w:val="0"/>
        <w:snapToGrid w:val="0"/>
        <w:spacing w:line="500" w:lineRule="exact"/>
        <w:ind w:firstLine="560" w:firstLineChars="200"/>
        <w:rPr>
          <w:rFonts w:ascii="宋体" w:hAnsi="宋体" w:cs="宋体"/>
          <w:sz w:val="28"/>
          <w:szCs w:val="28"/>
        </w:rPr>
      </w:pPr>
      <w:bookmarkStart w:id="45" w:name="_Hlt26670360"/>
      <w:bookmarkEnd w:id="45"/>
      <w:bookmarkStart w:id="46" w:name="_Hlt26668975"/>
      <w:bookmarkEnd w:id="46"/>
      <w:bookmarkStart w:id="47" w:name="_Hlt26954838"/>
      <w:bookmarkEnd w:id="47"/>
      <w:bookmarkStart w:id="48" w:name="_Toc49090511"/>
      <w:bookmarkStart w:id="49" w:name="_Toc14577360"/>
      <w:r>
        <w:rPr>
          <w:rFonts w:hint="eastAsia" w:ascii="宋体" w:hAnsi="宋体" w:cs="宋体"/>
          <w:sz w:val="28"/>
          <w:szCs w:val="28"/>
        </w:rPr>
        <w:t>3.</w:t>
      </w:r>
      <w:r>
        <w:rPr>
          <w:rFonts w:hint="eastAsia" w:ascii="宋体" w:hAnsi="宋体" w:cs="宋体"/>
          <w:bCs/>
          <w:sz w:val="28"/>
          <w:szCs w:val="28"/>
        </w:rPr>
        <w:t>响应</w:t>
      </w:r>
      <w:r>
        <w:rPr>
          <w:rFonts w:hint="eastAsia" w:ascii="宋体" w:hAnsi="宋体" w:cs="宋体"/>
          <w:sz w:val="28"/>
          <w:szCs w:val="28"/>
        </w:rPr>
        <w:t>文件的密封、签署、提交</w:t>
      </w:r>
    </w:p>
    <w:p w14:paraId="4DD15256">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3.1</w:t>
      </w:r>
      <w:r>
        <w:rPr>
          <w:rFonts w:hint="eastAsia" w:ascii="宋体" w:hAnsi="宋体" w:cs="宋体"/>
          <w:bCs/>
          <w:sz w:val="28"/>
          <w:szCs w:val="28"/>
        </w:rPr>
        <w:t>响应</w:t>
      </w:r>
      <w:r>
        <w:rPr>
          <w:rFonts w:hint="eastAsia" w:ascii="宋体" w:hAnsi="宋体" w:cs="宋体"/>
          <w:sz w:val="28"/>
          <w:szCs w:val="28"/>
        </w:rPr>
        <w:t>文件必须提供1份正本2份副本。</w:t>
      </w:r>
    </w:p>
    <w:p w14:paraId="3675A353">
      <w:pPr>
        <w:adjustRightInd w:val="0"/>
        <w:snapToGrid w:val="0"/>
        <w:spacing w:line="500" w:lineRule="exact"/>
        <w:ind w:firstLine="560" w:firstLineChars="200"/>
        <w:rPr>
          <w:rFonts w:ascii="宋体" w:hAnsi="宋体" w:cs="宋体"/>
          <w:sz w:val="28"/>
          <w:szCs w:val="28"/>
          <w:highlight w:val="yellow"/>
        </w:rPr>
      </w:pPr>
      <w:r>
        <w:rPr>
          <w:rFonts w:hint="eastAsia" w:ascii="宋体" w:hAnsi="宋体" w:cs="宋体"/>
          <w:sz w:val="28"/>
          <w:szCs w:val="28"/>
        </w:rPr>
        <w:t>3.2</w:t>
      </w:r>
      <w:r>
        <w:rPr>
          <w:rFonts w:hint="eastAsia" w:ascii="宋体" w:hAnsi="宋体" w:cs="宋体"/>
          <w:bCs/>
          <w:sz w:val="28"/>
          <w:szCs w:val="28"/>
        </w:rPr>
        <w:t>响应</w:t>
      </w:r>
      <w:r>
        <w:rPr>
          <w:rFonts w:hint="eastAsia" w:ascii="宋体" w:hAnsi="宋体" w:cs="宋体"/>
          <w:sz w:val="28"/>
          <w:szCs w:val="28"/>
        </w:rPr>
        <w:t>文件可采用现场递交方式提交。</w:t>
      </w:r>
    </w:p>
    <w:p w14:paraId="7B85376B">
      <w:pPr>
        <w:adjustRightInd w:val="0"/>
        <w:snapToGrid w:val="0"/>
        <w:spacing w:line="500" w:lineRule="exact"/>
        <w:ind w:firstLine="560" w:firstLineChars="200"/>
        <w:rPr>
          <w:rFonts w:hint="eastAsia" w:ascii="宋体" w:hAnsi="宋体" w:cs="宋体"/>
          <w:sz w:val="28"/>
          <w:szCs w:val="28"/>
        </w:rPr>
      </w:pPr>
      <w:r>
        <w:rPr>
          <w:rFonts w:hint="eastAsia" w:ascii="宋体" w:hAnsi="宋体" w:cs="宋体"/>
          <w:sz w:val="28"/>
          <w:szCs w:val="28"/>
        </w:rPr>
        <w:t>3.3响应供应商应在响应文件密封袋上标明：采购人名称、项目名称、供应商名称、响应文件名称。</w:t>
      </w:r>
    </w:p>
    <w:p w14:paraId="6A52DD8B">
      <w:pPr>
        <w:adjustRightInd w:val="0"/>
        <w:snapToGrid w:val="0"/>
        <w:spacing w:line="500" w:lineRule="exact"/>
        <w:ind w:firstLine="560" w:firstLineChars="200"/>
        <w:rPr>
          <w:rFonts w:hint="default" w:ascii="宋体" w:hAnsi="宋体" w:eastAsia="宋体" w:cs="宋体"/>
          <w:sz w:val="28"/>
          <w:szCs w:val="28"/>
          <w:lang w:val="en-US" w:eastAsia="zh-CN"/>
        </w:rPr>
      </w:pPr>
      <w:r>
        <w:rPr>
          <w:rFonts w:hint="eastAsia" w:ascii="宋体" w:hAnsi="宋体" w:cs="宋体"/>
          <w:sz w:val="28"/>
          <w:szCs w:val="28"/>
          <w:lang w:val="en-US" w:eastAsia="zh-CN"/>
        </w:rPr>
        <w:t>3.4</w:t>
      </w:r>
      <w:r>
        <w:rPr>
          <w:rFonts w:hint="eastAsia" w:ascii="宋体" w:hAnsi="宋体" w:eastAsia="宋体" w:cs="宋体"/>
          <w:sz w:val="28"/>
          <w:szCs w:val="28"/>
        </w:rPr>
        <w:t>响应文件均需采用A4纸（图纸等除外）打印并装订成册，不允许使用活页夹、拉杆夹、文件夹、塑料方便式书脊（插入式或穿孔式）装订，并应在响应文件封面</w:t>
      </w:r>
      <w:r>
        <w:rPr>
          <w:rFonts w:hint="eastAsia" w:ascii="宋体" w:hAnsi="宋体" w:eastAsia="宋体" w:cs="宋体"/>
          <w:sz w:val="28"/>
          <w:szCs w:val="28"/>
          <w:lang w:val="en-US" w:eastAsia="zh-CN"/>
        </w:rPr>
        <w:t>上</w:t>
      </w:r>
      <w:r>
        <w:rPr>
          <w:rFonts w:hint="eastAsia" w:ascii="宋体" w:hAnsi="宋体" w:eastAsia="宋体" w:cs="宋体"/>
          <w:sz w:val="28"/>
          <w:szCs w:val="28"/>
        </w:rPr>
        <w:t>清楚地注明“正本”或“副本”。正本和副本如有不一致之处，以正本为准。</w:t>
      </w:r>
    </w:p>
    <w:p w14:paraId="4F20CDE9">
      <w:pPr>
        <w:adjustRightInd w:val="0"/>
        <w:snapToGrid w:val="0"/>
        <w:spacing w:line="500" w:lineRule="exact"/>
        <w:ind w:firstLine="560" w:firstLineChars="200"/>
        <w:rPr>
          <w:rFonts w:hint="eastAsia" w:ascii="宋体" w:hAnsi="宋体" w:cs="宋体"/>
          <w:b/>
          <w:bCs w:val="0"/>
          <w:sz w:val="28"/>
          <w:szCs w:val="28"/>
        </w:rPr>
      </w:pPr>
      <w:r>
        <w:rPr>
          <w:rFonts w:hint="eastAsia" w:ascii="宋体" w:hAnsi="宋体" w:cs="宋体"/>
          <w:b/>
          <w:bCs w:val="0"/>
          <w:sz w:val="28"/>
          <w:szCs w:val="28"/>
        </w:rPr>
        <w:t>供应商的响应文件分二包密封，一包资格审查证明材料文件、一包价格标（每包内含相应文件正副本）；投标人必须将资格审查证明材料文件，价格标分开封装。</w:t>
      </w:r>
    </w:p>
    <w:p w14:paraId="62AB6669">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3.</w:t>
      </w:r>
      <w:r>
        <w:rPr>
          <w:rFonts w:hint="eastAsia" w:ascii="宋体" w:hAnsi="宋体" w:cs="宋体"/>
          <w:sz w:val="28"/>
          <w:szCs w:val="28"/>
          <w:lang w:val="en-US" w:eastAsia="zh-CN"/>
        </w:rPr>
        <w:t>5</w:t>
      </w:r>
      <w:r>
        <w:rPr>
          <w:rFonts w:hint="eastAsia" w:ascii="宋体" w:hAnsi="宋体" w:cs="宋体"/>
          <w:sz w:val="28"/>
          <w:szCs w:val="28"/>
        </w:rPr>
        <w:t>所有响应文件密封袋的封口处均应加盖供应商印章。</w:t>
      </w:r>
    </w:p>
    <w:p w14:paraId="363E8652">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3.</w:t>
      </w:r>
      <w:r>
        <w:rPr>
          <w:rFonts w:hint="eastAsia" w:ascii="宋体" w:hAnsi="宋体" w:cs="宋体"/>
          <w:sz w:val="28"/>
          <w:szCs w:val="28"/>
          <w:lang w:val="en-US" w:eastAsia="zh-CN"/>
        </w:rPr>
        <w:t>6</w:t>
      </w:r>
      <w:r>
        <w:rPr>
          <w:rFonts w:hint="eastAsia" w:ascii="宋体" w:hAnsi="宋体" w:cs="宋体"/>
          <w:sz w:val="28"/>
          <w:szCs w:val="28"/>
        </w:rPr>
        <w:t>如果响应供应商未按上述要求装订密封及加写标记，将作无效响应文件处理。</w:t>
      </w:r>
    </w:p>
    <w:p w14:paraId="0672868E">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4.响应文件的盖章要求</w:t>
      </w:r>
    </w:p>
    <w:p w14:paraId="0634D3AA">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4.1响应文件必须加盖骑缝章或每页盖章。</w:t>
      </w:r>
    </w:p>
    <w:p w14:paraId="1BCD58E0">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4.2响应文件如有修改、行间内插字和增删，修改处应由响应供应商加盖印章。</w:t>
      </w:r>
    </w:p>
    <w:p w14:paraId="30325C02">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4.3响应文件均需打印并装订成册，签字使用不褪色的蓝、黑墨水笔书写，字迹应清晰易于辨认，如因响应文件字迹潦草或表达不清所引起的后果由响应供应商负责。响应供应商应在响应文件封面的右上角清楚地注明“正本”或“副本”，正本和副本如有不一致之处，以正本为准。</w:t>
      </w:r>
    </w:p>
    <w:p w14:paraId="33AACB0C">
      <w:pPr>
        <w:adjustRightInd w:val="0"/>
        <w:snapToGrid w:val="0"/>
        <w:spacing w:line="500" w:lineRule="exact"/>
        <w:ind w:firstLine="560" w:firstLineChars="200"/>
        <w:rPr>
          <w:rFonts w:ascii="宋体" w:hAnsi="宋体" w:cs="宋体"/>
          <w:bCs/>
          <w:sz w:val="28"/>
          <w:szCs w:val="28"/>
        </w:rPr>
      </w:pPr>
      <w:r>
        <w:rPr>
          <w:rFonts w:hint="eastAsia" w:ascii="宋体" w:hAnsi="宋体" w:cs="宋体"/>
          <w:bCs/>
          <w:sz w:val="28"/>
          <w:szCs w:val="28"/>
        </w:rPr>
        <w:t>5.响应有效期</w:t>
      </w:r>
      <w:bookmarkEnd w:id="48"/>
      <w:bookmarkEnd w:id="49"/>
    </w:p>
    <w:p w14:paraId="35470A46">
      <w:pPr>
        <w:adjustRightInd w:val="0"/>
        <w:snapToGrid w:val="0"/>
        <w:spacing w:line="500" w:lineRule="exact"/>
        <w:ind w:firstLine="560" w:firstLineChars="200"/>
        <w:rPr>
          <w:rFonts w:ascii="宋体" w:hAnsi="宋体" w:cs="宋体"/>
          <w:bCs/>
          <w:sz w:val="28"/>
          <w:szCs w:val="28"/>
        </w:rPr>
      </w:pPr>
      <w:r>
        <w:rPr>
          <w:rFonts w:hint="eastAsia" w:ascii="宋体" w:hAnsi="宋体" w:cs="宋体"/>
          <w:sz w:val="28"/>
          <w:szCs w:val="28"/>
        </w:rPr>
        <w:t>响应文件和响应供应商法定代表人或其授权委托人签署的文件、资料的有效期为自开标之日起60个日历日。</w:t>
      </w:r>
      <w:r>
        <w:rPr>
          <w:rFonts w:hint="eastAsia" w:ascii="宋体" w:hAnsi="宋体" w:cs="宋体"/>
          <w:bCs/>
          <w:sz w:val="28"/>
          <w:szCs w:val="28"/>
        </w:rPr>
        <w:t>响应有效期比规定短的将被视为非响应性响应而予以拒绝。</w:t>
      </w:r>
    </w:p>
    <w:p w14:paraId="122B2439">
      <w:pPr>
        <w:adjustRightInd w:val="0"/>
        <w:snapToGrid w:val="0"/>
        <w:spacing w:line="500" w:lineRule="exact"/>
        <w:ind w:firstLine="560" w:firstLineChars="200"/>
        <w:rPr>
          <w:rFonts w:ascii="宋体" w:hAnsi="宋体" w:cs="宋体"/>
          <w:bCs/>
          <w:sz w:val="28"/>
          <w:szCs w:val="28"/>
        </w:rPr>
      </w:pPr>
      <w:r>
        <w:rPr>
          <w:rFonts w:hint="eastAsia" w:ascii="宋体" w:hAnsi="宋体" w:cs="宋体"/>
          <w:bCs/>
          <w:sz w:val="28"/>
          <w:szCs w:val="28"/>
        </w:rPr>
        <w:t>6.响应有效期的延长</w:t>
      </w:r>
    </w:p>
    <w:p w14:paraId="113B4B7E">
      <w:pPr>
        <w:adjustRightInd w:val="0"/>
        <w:snapToGrid w:val="0"/>
        <w:spacing w:line="500" w:lineRule="exact"/>
        <w:ind w:firstLine="560" w:firstLineChars="200"/>
        <w:rPr>
          <w:rFonts w:ascii="宋体" w:hAnsi="宋体" w:cs="宋体"/>
          <w:bCs/>
          <w:sz w:val="28"/>
          <w:szCs w:val="28"/>
        </w:rPr>
      </w:pPr>
      <w:r>
        <w:rPr>
          <w:rFonts w:hint="eastAsia" w:ascii="宋体" w:hAnsi="宋体" w:cs="宋体"/>
          <w:bCs/>
          <w:sz w:val="28"/>
          <w:szCs w:val="28"/>
        </w:rPr>
        <w:t>在特殊情况下，采购人于原响应有效期满之前，可向响应供应商提出延长响应有效期的要求。这种要求与答复均应采用书面形式。响应供应商可以拒绝采购单位的这一要求而放弃响应，同意延长响应有效期的响应供应商既不能要求也不允许修改其响应文件。受响应有效期约束的所有权利与义务均延长至新的有效期。</w:t>
      </w:r>
    </w:p>
    <w:p w14:paraId="377B0F4B">
      <w:pPr>
        <w:widowControl/>
        <w:adjustRightInd w:val="0"/>
        <w:snapToGrid w:val="0"/>
        <w:spacing w:line="500" w:lineRule="exact"/>
        <w:ind w:firstLine="281"/>
        <w:jc w:val="left"/>
        <w:rPr>
          <w:rFonts w:ascii="宋体" w:hAnsi="宋体" w:cs="宋体"/>
          <w:b/>
          <w:bCs/>
          <w:sz w:val="28"/>
          <w:szCs w:val="28"/>
        </w:rPr>
      </w:pPr>
      <w:r>
        <w:rPr>
          <w:rFonts w:hint="eastAsia" w:ascii="宋体" w:hAnsi="宋体" w:cs="宋体"/>
          <w:b/>
          <w:bCs/>
          <w:sz w:val="28"/>
          <w:szCs w:val="28"/>
        </w:rPr>
        <w:t>四、响应文件的递交</w:t>
      </w:r>
    </w:p>
    <w:p w14:paraId="592C903A">
      <w:pPr>
        <w:adjustRightInd w:val="0"/>
        <w:snapToGrid w:val="0"/>
        <w:spacing w:line="500" w:lineRule="exact"/>
        <w:ind w:firstLine="560" w:firstLineChars="200"/>
        <w:rPr>
          <w:rFonts w:ascii="宋体" w:hAnsi="宋体" w:cs="宋体"/>
          <w:bCs/>
          <w:sz w:val="28"/>
          <w:szCs w:val="28"/>
        </w:rPr>
      </w:pPr>
      <w:r>
        <w:rPr>
          <w:rFonts w:hint="eastAsia" w:ascii="宋体" w:hAnsi="宋体" w:cs="宋体"/>
          <w:bCs/>
          <w:sz w:val="28"/>
          <w:szCs w:val="28"/>
        </w:rPr>
        <w:t>1.响应文件的递交</w:t>
      </w:r>
    </w:p>
    <w:p w14:paraId="5F5F0D6A">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1.1响应供应商应当在响应文件提交截止时间前提交按照采购文件要求密封的响应文件。</w:t>
      </w:r>
    </w:p>
    <w:p w14:paraId="3AAB5113">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1.2响应文件的内容不清楚或不清晰的，造成无法评审或部分影响评审的，导致评审差错的，责任由供应商自负。</w:t>
      </w:r>
    </w:p>
    <w:p w14:paraId="15B10AC5">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2.响应截止日期</w:t>
      </w:r>
    </w:p>
    <w:p w14:paraId="0B81AB40">
      <w:pPr>
        <w:adjustRightInd w:val="0"/>
        <w:snapToGrid w:val="0"/>
        <w:spacing w:line="500" w:lineRule="exact"/>
        <w:ind w:firstLine="560" w:firstLineChars="200"/>
        <w:rPr>
          <w:rFonts w:ascii="宋体" w:hAnsi="宋体" w:cs="宋体"/>
          <w:sz w:val="28"/>
          <w:szCs w:val="28"/>
        </w:rPr>
      </w:pPr>
      <w:bookmarkStart w:id="50" w:name="_Toc513029227"/>
      <w:bookmarkStart w:id="51" w:name="_Toc20823299"/>
      <w:bookmarkStart w:id="52" w:name="_Toc16938543"/>
      <w:r>
        <w:rPr>
          <w:rFonts w:hint="eastAsia" w:ascii="宋体" w:hAnsi="宋体" w:cs="宋体"/>
          <w:sz w:val="28"/>
          <w:szCs w:val="28"/>
        </w:rPr>
        <w:t>2.1 响应供应商提交的响应文件的时间不得迟于采购公告中规定的响应文件提交截止时间。响应供应商应充分考虑天气、路程等因素，如因供应商自身原因造成的后果由响应供应商自行承担全部责任。</w:t>
      </w:r>
    </w:p>
    <w:p w14:paraId="3D7CAC02">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2.2 采购人可以按照规定，通过修改响应文件酌情延长响应文件提交截止日期，在此情况下，响应供应商的所有权利和义务以及响应供应商受制的截止日期均应以延长后新的截止日期为准。</w:t>
      </w:r>
    </w:p>
    <w:p w14:paraId="2BF49813">
      <w:pPr>
        <w:adjustRightInd w:val="0"/>
        <w:snapToGrid w:val="0"/>
        <w:spacing w:line="500" w:lineRule="exact"/>
        <w:ind w:firstLine="560" w:firstLineChars="200"/>
        <w:rPr>
          <w:rFonts w:ascii="宋体" w:hAnsi="宋体" w:cs="宋体"/>
          <w:bCs/>
          <w:sz w:val="28"/>
          <w:szCs w:val="28"/>
        </w:rPr>
      </w:pPr>
      <w:r>
        <w:rPr>
          <w:rFonts w:hint="eastAsia" w:ascii="宋体" w:hAnsi="宋体" w:cs="宋体"/>
          <w:bCs/>
          <w:sz w:val="28"/>
          <w:szCs w:val="28"/>
        </w:rPr>
        <w:t>3.响应文件</w:t>
      </w:r>
      <w:bookmarkEnd w:id="50"/>
      <w:bookmarkEnd w:id="51"/>
      <w:bookmarkEnd w:id="52"/>
      <w:r>
        <w:rPr>
          <w:rFonts w:hint="eastAsia" w:ascii="宋体" w:hAnsi="宋体" w:cs="宋体"/>
          <w:bCs/>
          <w:sz w:val="28"/>
          <w:szCs w:val="28"/>
        </w:rPr>
        <w:t>的拒收</w:t>
      </w:r>
    </w:p>
    <w:p w14:paraId="47FC4F12">
      <w:pPr>
        <w:adjustRightInd w:val="0"/>
        <w:snapToGrid w:val="0"/>
        <w:spacing w:line="500" w:lineRule="exact"/>
        <w:ind w:firstLine="560" w:firstLineChars="200"/>
        <w:rPr>
          <w:rFonts w:ascii="宋体" w:hAnsi="宋体" w:cs="宋体"/>
          <w:sz w:val="28"/>
          <w:szCs w:val="28"/>
        </w:rPr>
      </w:pPr>
      <w:bookmarkStart w:id="53" w:name="_Toc16938544"/>
      <w:bookmarkStart w:id="54" w:name="_Toc20823300"/>
      <w:bookmarkStart w:id="55" w:name="_Toc513029228"/>
      <w:r>
        <w:rPr>
          <w:rFonts w:hint="eastAsia" w:ascii="宋体" w:hAnsi="宋体" w:cs="宋体"/>
          <w:sz w:val="28"/>
          <w:szCs w:val="28"/>
        </w:rPr>
        <w:t>采购人拒绝接收未按照采购文件要求密封的响应文件，拒绝接收在响应文件接收截止时间后送达的响应文件。</w:t>
      </w:r>
    </w:p>
    <w:p w14:paraId="344A49AA">
      <w:pPr>
        <w:adjustRightInd w:val="0"/>
        <w:snapToGrid w:val="0"/>
        <w:spacing w:line="500" w:lineRule="exact"/>
        <w:ind w:firstLine="560" w:firstLineChars="200"/>
        <w:rPr>
          <w:rFonts w:ascii="宋体" w:hAnsi="宋体" w:cs="宋体"/>
          <w:bCs/>
          <w:sz w:val="28"/>
          <w:szCs w:val="28"/>
        </w:rPr>
      </w:pPr>
      <w:r>
        <w:rPr>
          <w:rFonts w:hint="eastAsia" w:ascii="宋体" w:hAnsi="宋体" w:cs="宋体"/>
          <w:bCs/>
          <w:sz w:val="28"/>
          <w:szCs w:val="28"/>
        </w:rPr>
        <w:t>4.响应文件的修改</w:t>
      </w:r>
      <w:bookmarkEnd w:id="53"/>
      <w:bookmarkEnd w:id="54"/>
      <w:bookmarkEnd w:id="55"/>
    </w:p>
    <w:p w14:paraId="4FC27A29">
      <w:pPr>
        <w:adjustRightInd w:val="0"/>
        <w:snapToGrid w:val="0"/>
        <w:spacing w:line="500" w:lineRule="exact"/>
        <w:ind w:firstLine="560" w:firstLineChars="200"/>
        <w:rPr>
          <w:rFonts w:ascii="宋体" w:hAnsi="宋体" w:cs="宋体"/>
          <w:bCs/>
          <w:sz w:val="28"/>
          <w:szCs w:val="28"/>
        </w:rPr>
      </w:pPr>
      <w:r>
        <w:rPr>
          <w:rFonts w:hint="eastAsia" w:ascii="宋体" w:hAnsi="宋体" w:cs="宋体"/>
          <w:bCs/>
          <w:sz w:val="28"/>
          <w:szCs w:val="28"/>
        </w:rPr>
        <w:t>4.1 在响应文件提交截止时间之后，响应供应商不得对其响应文件作任何修改。</w:t>
      </w:r>
    </w:p>
    <w:p w14:paraId="39A44FE3">
      <w:pPr>
        <w:adjustRightInd w:val="0"/>
        <w:snapToGrid w:val="0"/>
        <w:spacing w:line="500" w:lineRule="exact"/>
        <w:ind w:firstLine="560" w:firstLineChars="200"/>
        <w:rPr>
          <w:rFonts w:ascii="宋体" w:hAnsi="宋体" w:cs="宋体"/>
          <w:bCs/>
          <w:sz w:val="28"/>
          <w:szCs w:val="28"/>
        </w:rPr>
      </w:pPr>
      <w:r>
        <w:rPr>
          <w:rFonts w:hint="eastAsia" w:ascii="宋体" w:hAnsi="宋体" w:cs="宋体"/>
          <w:bCs/>
          <w:sz w:val="28"/>
          <w:szCs w:val="28"/>
        </w:rPr>
        <w:t>4.2 在响应文件提交截止时间至采购文件中规定的响应有效期满之间的这段时间内，响应供应商不得撤回其响应。</w:t>
      </w:r>
    </w:p>
    <w:p w14:paraId="244D6CFF">
      <w:pPr>
        <w:adjustRightInd w:val="0"/>
        <w:snapToGrid w:val="0"/>
        <w:spacing w:line="500" w:lineRule="exact"/>
        <w:ind w:firstLine="281"/>
        <w:jc w:val="left"/>
        <w:rPr>
          <w:rFonts w:ascii="宋体" w:hAnsi="宋体" w:cs="宋体"/>
          <w:b/>
          <w:sz w:val="28"/>
          <w:szCs w:val="28"/>
        </w:rPr>
      </w:pPr>
      <w:r>
        <w:rPr>
          <w:rFonts w:hint="eastAsia" w:ascii="宋体" w:hAnsi="宋体" w:cs="宋体"/>
          <w:b/>
          <w:sz w:val="28"/>
          <w:szCs w:val="28"/>
        </w:rPr>
        <w:t>五、询价采购程序</w:t>
      </w:r>
    </w:p>
    <w:p w14:paraId="7D32051E">
      <w:pPr>
        <w:adjustRightInd w:val="0"/>
        <w:snapToGrid w:val="0"/>
        <w:spacing w:line="500" w:lineRule="exact"/>
        <w:ind w:firstLine="280"/>
        <w:rPr>
          <w:rFonts w:ascii="宋体" w:hAnsi="宋体" w:cs="宋体"/>
          <w:sz w:val="28"/>
          <w:szCs w:val="28"/>
        </w:rPr>
      </w:pPr>
      <w:r>
        <w:rPr>
          <w:rFonts w:hint="eastAsia" w:ascii="宋体" w:hAnsi="宋体" w:cs="宋体"/>
          <w:sz w:val="28"/>
          <w:szCs w:val="28"/>
        </w:rPr>
        <w:t>1.询价小组</w:t>
      </w:r>
    </w:p>
    <w:p w14:paraId="4FA0DE8F">
      <w:pPr>
        <w:adjustRightInd w:val="0"/>
        <w:snapToGrid w:val="0"/>
        <w:spacing w:line="500" w:lineRule="exact"/>
        <w:ind w:firstLine="280"/>
        <w:jc w:val="left"/>
        <w:rPr>
          <w:rFonts w:ascii="宋体" w:hAnsi="宋体" w:cs="宋体"/>
          <w:sz w:val="28"/>
          <w:szCs w:val="28"/>
        </w:rPr>
      </w:pPr>
      <w:r>
        <w:rPr>
          <w:rFonts w:hint="eastAsia" w:ascii="宋体" w:hAnsi="宋体" w:cs="宋体"/>
          <w:sz w:val="28"/>
          <w:szCs w:val="28"/>
        </w:rPr>
        <w:t>1.1 开标后，采购人将立即组织询价小组进行评标。</w:t>
      </w:r>
    </w:p>
    <w:p w14:paraId="0F682918">
      <w:pPr>
        <w:adjustRightInd w:val="0"/>
        <w:snapToGrid w:val="0"/>
        <w:spacing w:line="500" w:lineRule="exact"/>
        <w:ind w:firstLine="280"/>
        <w:jc w:val="left"/>
        <w:rPr>
          <w:rFonts w:ascii="宋体" w:hAnsi="宋体" w:cs="宋体"/>
          <w:color w:val="0000FF"/>
          <w:sz w:val="28"/>
          <w:szCs w:val="28"/>
          <w:highlight w:val="none"/>
        </w:rPr>
      </w:pPr>
      <w:r>
        <w:rPr>
          <w:rFonts w:hint="eastAsia" w:ascii="宋体" w:hAnsi="宋体" w:cs="宋体"/>
          <w:sz w:val="28"/>
          <w:szCs w:val="28"/>
        </w:rPr>
        <w:t>1.</w:t>
      </w:r>
      <w:r>
        <w:rPr>
          <w:rFonts w:hint="eastAsia" w:ascii="宋体" w:hAnsi="宋体" w:cs="宋体"/>
          <w:sz w:val="28"/>
          <w:szCs w:val="28"/>
          <w:highlight w:val="none"/>
        </w:rPr>
        <w:t>2 询价小</w:t>
      </w:r>
      <w:r>
        <w:rPr>
          <w:rFonts w:hint="eastAsia" w:ascii="宋体" w:hAnsi="宋体" w:cs="宋体"/>
          <w:color w:val="auto"/>
          <w:sz w:val="28"/>
          <w:szCs w:val="28"/>
          <w:highlight w:val="none"/>
        </w:rPr>
        <w:t>组</w:t>
      </w:r>
      <w:r>
        <w:rPr>
          <w:rFonts w:hint="eastAsia" w:ascii="宋体" w:hAnsi="宋体" w:cs="宋体"/>
          <w:color w:val="auto"/>
          <w:sz w:val="28"/>
          <w:szCs w:val="28"/>
          <w:highlight w:val="none"/>
        </w:rPr>
        <w:t>由采购人代表组成，且</w:t>
      </w:r>
      <w:r>
        <w:rPr>
          <w:rFonts w:hint="eastAsia" w:ascii="宋体" w:hAnsi="宋体" w:cs="宋体"/>
          <w:color w:val="auto"/>
          <w:sz w:val="28"/>
          <w:szCs w:val="28"/>
          <w:highlight w:val="none"/>
        </w:rPr>
        <w:t>人员构成符合政府采购有关规定。</w:t>
      </w:r>
    </w:p>
    <w:p w14:paraId="602CDB37">
      <w:pPr>
        <w:adjustRightInd w:val="0"/>
        <w:snapToGrid w:val="0"/>
        <w:spacing w:line="500" w:lineRule="exact"/>
        <w:ind w:firstLine="280"/>
        <w:jc w:val="left"/>
        <w:rPr>
          <w:rFonts w:ascii="宋体" w:hAnsi="宋体" w:cs="宋体"/>
          <w:sz w:val="28"/>
          <w:szCs w:val="28"/>
        </w:rPr>
      </w:pPr>
      <w:r>
        <w:rPr>
          <w:rFonts w:hint="eastAsia" w:ascii="宋体" w:hAnsi="宋体" w:cs="宋体"/>
          <w:sz w:val="28"/>
          <w:szCs w:val="28"/>
        </w:rPr>
        <w:t>1.3询价小组应当按照客观、公正、审慎的原则评审响应供应商的响应文件。</w:t>
      </w:r>
    </w:p>
    <w:p w14:paraId="6859953B">
      <w:pPr>
        <w:adjustRightInd w:val="0"/>
        <w:snapToGrid w:val="0"/>
        <w:spacing w:line="500" w:lineRule="exact"/>
        <w:ind w:firstLine="280"/>
        <w:rPr>
          <w:rFonts w:ascii="宋体" w:hAnsi="宋体" w:cs="宋体"/>
          <w:sz w:val="28"/>
          <w:szCs w:val="28"/>
        </w:rPr>
      </w:pPr>
      <w:r>
        <w:rPr>
          <w:rFonts w:hint="eastAsia" w:ascii="宋体" w:hAnsi="宋体" w:cs="宋体"/>
          <w:sz w:val="28"/>
          <w:szCs w:val="28"/>
        </w:rPr>
        <w:t>2.响应的澄清</w:t>
      </w:r>
    </w:p>
    <w:p w14:paraId="00C54C9F">
      <w:pPr>
        <w:adjustRightInd w:val="0"/>
        <w:snapToGrid w:val="0"/>
        <w:spacing w:line="500" w:lineRule="exact"/>
        <w:ind w:firstLine="280"/>
        <w:jc w:val="left"/>
        <w:rPr>
          <w:rFonts w:ascii="宋体" w:hAnsi="宋体" w:cs="宋体"/>
          <w:sz w:val="28"/>
          <w:szCs w:val="28"/>
        </w:rPr>
      </w:pPr>
      <w:r>
        <w:rPr>
          <w:rFonts w:hint="eastAsia" w:ascii="宋体" w:hAnsi="宋体" w:cs="宋体"/>
          <w:sz w:val="28"/>
          <w:szCs w:val="28"/>
        </w:rPr>
        <w:t>2.1评审期间，为有助于对响应文件的审查、评价和比较，询价小组有权要求供应商对其响应文件进行澄清，但并非对每个供应商都作澄清要求。</w:t>
      </w:r>
    </w:p>
    <w:p w14:paraId="00D45F07">
      <w:pPr>
        <w:adjustRightInd w:val="0"/>
        <w:snapToGrid w:val="0"/>
        <w:spacing w:line="500" w:lineRule="exact"/>
        <w:ind w:firstLine="280"/>
        <w:jc w:val="left"/>
        <w:rPr>
          <w:rFonts w:ascii="宋体" w:hAnsi="宋体" w:cs="宋体"/>
          <w:sz w:val="28"/>
          <w:szCs w:val="28"/>
        </w:rPr>
      </w:pPr>
      <w:r>
        <w:rPr>
          <w:rFonts w:hint="eastAsia" w:ascii="宋体" w:hAnsi="宋体" w:cs="宋体"/>
          <w:sz w:val="28"/>
          <w:szCs w:val="28"/>
        </w:rPr>
        <w:t>2.2接到询价小组澄清要求的供应商应派人按询价小组规定的时间和格式作出澄清，澄清的内容作为响应文件的补充部分，但响应的价格和实质性的内容不得做任何更改。</w:t>
      </w:r>
    </w:p>
    <w:p w14:paraId="341084EC">
      <w:pPr>
        <w:adjustRightInd w:val="0"/>
        <w:snapToGrid w:val="0"/>
        <w:spacing w:line="500" w:lineRule="exact"/>
        <w:ind w:firstLine="280"/>
        <w:jc w:val="left"/>
        <w:rPr>
          <w:rFonts w:ascii="宋体" w:hAnsi="宋体" w:cs="宋体"/>
          <w:sz w:val="28"/>
          <w:szCs w:val="28"/>
        </w:rPr>
      </w:pPr>
      <w:r>
        <w:rPr>
          <w:rFonts w:hint="eastAsia" w:ascii="宋体" w:hAnsi="宋体" w:cs="宋体"/>
          <w:sz w:val="28"/>
          <w:szCs w:val="28"/>
        </w:rPr>
        <w:t>2.3 接到询价小组澄清要求的供应商如未按规定做出澄清，其风险由供应商自行承担。</w:t>
      </w:r>
    </w:p>
    <w:p w14:paraId="05ED33C6">
      <w:pPr>
        <w:adjustRightInd w:val="0"/>
        <w:snapToGrid w:val="0"/>
        <w:spacing w:line="500" w:lineRule="exact"/>
        <w:ind w:firstLine="280"/>
        <w:rPr>
          <w:rFonts w:ascii="宋体" w:hAnsi="宋体" w:cs="宋体"/>
          <w:sz w:val="28"/>
          <w:szCs w:val="28"/>
        </w:rPr>
      </w:pPr>
      <w:r>
        <w:rPr>
          <w:rFonts w:hint="eastAsia" w:ascii="宋体" w:hAnsi="宋体" w:cs="宋体"/>
          <w:sz w:val="28"/>
          <w:szCs w:val="28"/>
        </w:rPr>
        <w:t>3.对响应文件的初审</w:t>
      </w:r>
    </w:p>
    <w:p w14:paraId="6A1C5D60">
      <w:pPr>
        <w:adjustRightInd w:val="0"/>
        <w:snapToGrid w:val="0"/>
        <w:spacing w:line="500" w:lineRule="exact"/>
        <w:ind w:firstLine="280"/>
        <w:jc w:val="left"/>
        <w:rPr>
          <w:rFonts w:ascii="宋体" w:hAnsi="宋体" w:cs="宋体"/>
          <w:sz w:val="28"/>
          <w:szCs w:val="28"/>
        </w:rPr>
      </w:pPr>
      <w:r>
        <w:rPr>
          <w:rFonts w:hint="eastAsia" w:ascii="宋体" w:hAnsi="宋体" w:cs="宋体"/>
          <w:sz w:val="28"/>
          <w:szCs w:val="28"/>
        </w:rPr>
        <w:t>3.1响应文件初审分为资格性检查和符合性检查。</w:t>
      </w:r>
    </w:p>
    <w:p w14:paraId="71FFFDFF">
      <w:pPr>
        <w:numPr>
          <w:ilvl w:val="0"/>
          <w:numId w:val="1"/>
        </w:numPr>
        <w:adjustRightInd w:val="0"/>
        <w:snapToGrid w:val="0"/>
        <w:spacing w:line="500" w:lineRule="exact"/>
        <w:ind w:firstLine="280"/>
        <w:jc w:val="left"/>
        <w:rPr>
          <w:rFonts w:ascii="宋体" w:hAnsi="宋体" w:cs="宋体"/>
          <w:sz w:val="28"/>
          <w:szCs w:val="28"/>
        </w:rPr>
      </w:pPr>
      <w:r>
        <w:rPr>
          <w:rFonts w:hint="eastAsia" w:ascii="宋体" w:hAnsi="宋体" w:cs="宋体"/>
          <w:sz w:val="28"/>
          <w:szCs w:val="28"/>
        </w:rPr>
        <w:t>资格性检查：依据法律法规和采购文件的规定，对响应文件中的资格证明文件等进行审查，以确定供应商是否具备参加询价的资格。</w:t>
      </w:r>
    </w:p>
    <w:p w14:paraId="2C21EE64">
      <w:pPr>
        <w:adjustRightInd w:val="0"/>
        <w:snapToGrid w:val="0"/>
        <w:spacing w:line="500" w:lineRule="exact"/>
        <w:ind w:firstLine="560" w:firstLineChars="200"/>
        <w:jc w:val="left"/>
        <w:rPr>
          <w:rFonts w:ascii="宋体" w:hAnsi="宋体" w:cs="宋体"/>
        </w:rPr>
      </w:pPr>
      <w:r>
        <w:rPr>
          <w:rFonts w:hint="eastAsia" w:ascii="宋体" w:hAnsi="宋体" w:cs="宋体"/>
          <w:sz w:val="28"/>
          <w:szCs w:val="28"/>
        </w:rPr>
        <w:t>询价小组在进行资格性审查的同时，将在“信用中国”网站对供应商是否被列入失信被执行人、重大税收违法案件当事人名单、政府采购严重失信行为记录名单情况进行查询，以确定供应商是否具备参加询价的资格。</w:t>
      </w:r>
    </w:p>
    <w:p w14:paraId="6CFE4CA5">
      <w:pPr>
        <w:adjustRightInd w:val="0"/>
        <w:snapToGrid w:val="0"/>
        <w:spacing w:line="500" w:lineRule="exact"/>
        <w:ind w:firstLine="560" w:firstLineChars="200"/>
        <w:jc w:val="left"/>
        <w:rPr>
          <w:rFonts w:ascii="宋体" w:hAnsi="宋体" w:cs="宋体"/>
          <w:sz w:val="28"/>
          <w:szCs w:val="28"/>
        </w:rPr>
      </w:pPr>
      <w:r>
        <w:rPr>
          <w:rFonts w:hint="eastAsia" w:ascii="宋体" w:hAnsi="宋体" w:cs="宋体"/>
          <w:sz w:val="28"/>
          <w:szCs w:val="28"/>
        </w:rPr>
        <w:t>接受联合体的项目，两个以上的自然人、法人或者其他组织组成一个联合体，以一个供应商的身份共同参加政府采购活动的,联合体成员中任何一方存在不良信用记录的，视同联合体存在不良应用记录。</w:t>
      </w:r>
    </w:p>
    <w:p w14:paraId="489105BE">
      <w:pPr>
        <w:adjustRightInd w:val="0"/>
        <w:snapToGrid w:val="0"/>
        <w:spacing w:line="500" w:lineRule="exact"/>
        <w:ind w:firstLine="560" w:firstLineChars="200"/>
        <w:jc w:val="left"/>
        <w:rPr>
          <w:rFonts w:ascii="宋体" w:hAnsi="宋体" w:cs="宋体"/>
          <w:sz w:val="28"/>
          <w:szCs w:val="28"/>
        </w:rPr>
      </w:pPr>
      <w:r>
        <w:rPr>
          <w:rFonts w:hint="eastAsia" w:ascii="宋体" w:hAnsi="宋体" w:cs="宋体"/>
          <w:sz w:val="28"/>
          <w:szCs w:val="28"/>
        </w:rPr>
        <w:t>资格性审查未通过的响应供应商作无效响应处理。</w:t>
      </w:r>
    </w:p>
    <w:p w14:paraId="0F700330">
      <w:pPr>
        <w:adjustRightInd w:val="0"/>
        <w:snapToGrid w:val="0"/>
        <w:spacing w:line="500" w:lineRule="exact"/>
        <w:ind w:firstLine="280"/>
        <w:jc w:val="left"/>
        <w:rPr>
          <w:rFonts w:ascii="宋体" w:hAnsi="宋体" w:cs="宋体"/>
          <w:sz w:val="28"/>
          <w:szCs w:val="28"/>
        </w:rPr>
      </w:pPr>
      <w:r>
        <w:rPr>
          <w:rFonts w:hint="eastAsia" w:ascii="宋体" w:hAnsi="宋体" w:cs="宋体"/>
          <w:sz w:val="28"/>
          <w:szCs w:val="28"/>
        </w:rPr>
        <w:t>（2）符合性检查：依据采购文件的规定，从响应文件的有效性、完整性和对采购文件的响应程度进行审查，以确定是否对采购文件的实质性要求作出响应。符合性审查未通过的响应供应商作无效响应处理。</w:t>
      </w:r>
    </w:p>
    <w:p w14:paraId="2DD21CD0">
      <w:pPr>
        <w:adjustRightInd w:val="0"/>
        <w:snapToGrid w:val="0"/>
        <w:spacing w:line="500" w:lineRule="exact"/>
        <w:ind w:firstLine="280"/>
        <w:jc w:val="left"/>
        <w:rPr>
          <w:rFonts w:ascii="宋体" w:hAnsi="宋体" w:cs="宋体"/>
          <w:sz w:val="28"/>
          <w:szCs w:val="28"/>
        </w:rPr>
      </w:pPr>
      <w:r>
        <w:rPr>
          <w:rFonts w:hint="eastAsia" w:ascii="宋体" w:hAnsi="宋体" w:cs="宋体"/>
          <w:sz w:val="28"/>
          <w:szCs w:val="28"/>
        </w:rPr>
        <w:t>（3）未通过资格性审查或符合性审查的响应供应商，采购单位将告知其未通过资格性审查或符合性审查的原因。</w:t>
      </w:r>
    </w:p>
    <w:p w14:paraId="7B1BB335">
      <w:pPr>
        <w:adjustRightInd w:val="0"/>
        <w:snapToGrid w:val="0"/>
        <w:spacing w:line="500" w:lineRule="exact"/>
        <w:ind w:firstLine="280"/>
        <w:jc w:val="left"/>
        <w:rPr>
          <w:rFonts w:ascii="宋体" w:hAnsi="宋体" w:cs="宋体"/>
          <w:sz w:val="28"/>
          <w:szCs w:val="28"/>
        </w:rPr>
      </w:pPr>
      <w:r>
        <w:rPr>
          <w:rFonts w:hint="eastAsia" w:ascii="宋体" w:hAnsi="宋体" w:cs="宋体"/>
          <w:sz w:val="28"/>
          <w:szCs w:val="28"/>
        </w:rPr>
        <w:t>3.2</w:t>
      </w:r>
      <w:r>
        <w:rPr>
          <w:rFonts w:hint="eastAsia" w:ascii="宋体" w:hAnsi="宋体" w:cs="宋体"/>
          <w:bCs/>
          <w:sz w:val="28"/>
          <w:szCs w:val="28"/>
        </w:rPr>
        <w:t>询价小组将对确定为实质性响应的响应文件进行进一步审核，看其是否有计算</w:t>
      </w:r>
      <w:r>
        <w:rPr>
          <w:rFonts w:hint="eastAsia" w:ascii="宋体" w:hAnsi="宋体" w:cs="宋体"/>
          <w:sz w:val="28"/>
          <w:szCs w:val="28"/>
        </w:rPr>
        <w:t>上或累加上的算术错误，修正错误的原则如下：</w:t>
      </w:r>
    </w:p>
    <w:p w14:paraId="2B0E8893">
      <w:pPr>
        <w:adjustRightInd w:val="0"/>
        <w:snapToGrid w:val="0"/>
        <w:spacing w:line="500" w:lineRule="exact"/>
        <w:ind w:firstLine="280"/>
        <w:jc w:val="left"/>
        <w:rPr>
          <w:rFonts w:ascii="宋体" w:hAnsi="宋体" w:cs="宋体"/>
          <w:sz w:val="28"/>
          <w:szCs w:val="28"/>
        </w:rPr>
      </w:pPr>
      <w:r>
        <w:rPr>
          <w:rFonts w:hint="eastAsia" w:ascii="宋体" w:hAnsi="宋体" w:cs="宋体"/>
          <w:sz w:val="28"/>
          <w:szCs w:val="28"/>
        </w:rPr>
        <w:t>（1）响应文件中开标一览表内容与响应文件中相应内容不一致的，以开标一览表为准。</w:t>
      </w:r>
    </w:p>
    <w:p w14:paraId="6C73A0CB">
      <w:pPr>
        <w:adjustRightInd w:val="0"/>
        <w:snapToGrid w:val="0"/>
        <w:spacing w:line="500" w:lineRule="exact"/>
        <w:ind w:firstLine="280"/>
        <w:jc w:val="left"/>
        <w:rPr>
          <w:rFonts w:ascii="宋体" w:hAnsi="宋体" w:cs="宋体"/>
          <w:sz w:val="28"/>
          <w:szCs w:val="28"/>
        </w:rPr>
      </w:pPr>
      <w:r>
        <w:rPr>
          <w:rFonts w:hint="eastAsia" w:ascii="宋体" w:hAnsi="宋体" w:cs="宋体"/>
          <w:sz w:val="28"/>
          <w:szCs w:val="28"/>
        </w:rPr>
        <w:t>（2）大写金额和小写金额不一致的，以大写金额为准。</w:t>
      </w:r>
    </w:p>
    <w:p w14:paraId="06EB4D60">
      <w:pPr>
        <w:adjustRightInd w:val="0"/>
        <w:snapToGrid w:val="0"/>
        <w:spacing w:line="500" w:lineRule="exact"/>
        <w:ind w:firstLine="280"/>
        <w:jc w:val="left"/>
        <w:rPr>
          <w:rFonts w:ascii="宋体" w:hAnsi="宋体" w:cs="宋体"/>
          <w:sz w:val="28"/>
          <w:szCs w:val="28"/>
        </w:rPr>
      </w:pPr>
      <w:r>
        <w:rPr>
          <w:rFonts w:hint="eastAsia" w:ascii="宋体" w:hAnsi="宋体" w:cs="宋体"/>
          <w:sz w:val="28"/>
          <w:szCs w:val="28"/>
        </w:rPr>
        <w:t>（3）总价金额与按单价汇总金额不一致的，以单价金额计算结果为准。</w:t>
      </w:r>
    </w:p>
    <w:p w14:paraId="5A78E49F">
      <w:pPr>
        <w:adjustRightInd w:val="0"/>
        <w:snapToGrid w:val="0"/>
        <w:spacing w:line="500" w:lineRule="exact"/>
        <w:ind w:firstLine="280"/>
        <w:jc w:val="left"/>
        <w:rPr>
          <w:rFonts w:ascii="宋体" w:hAnsi="宋体" w:cs="宋体"/>
          <w:sz w:val="28"/>
          <w:szCs w:val="28"/>
        </w:rPr>
      </w:pPr>
      <w:r>
        <w:rPr>
          <w:rFonts w:hint="eastAsia" w:ascii="宋体" w:hAnsi="宋体" w:cs="宋体"/>
          <w:sz w:val="28"/>
          <w:szCs w:val="28"/>
        </w:rPr>
        <w:t>同时出现两种以上错误的，按照前款规定的顺序修正。</w:t>
      </w:r>
    </w:p>
    <w:p w14:paraId="26D84B54">
      <w:pPr>
        <w:adjustRightInd w:val="0"/>
        <w:snapToGrid w:val="0"/>
        <w:spacing w:line="500" w:lineRule="exact"/>
        <w:ind w:firstLine="560" w:firstLineChars="200"/>
        <w:jc w:val="left"/>
        <w:rPr>
          <w:rFonts w:ascii="宋体" w:hAnsi="宋体" w:cs="宋体"/>
          <w:sz w:val="28"/>
          <w:szCs w:val="28"/>
        </w:rPr>
      </w:pPr>
      <w:r>
        <w:rPr>
          <w:rFonts w:hint="eastAsia" w:ascii="宋体" w:hAnsi="宋体" w:cs="宋体"/>
          <w:sz w:val="28"/>
          <w:szCs w:val="28"/>
        </w:rPr>
        <w:t>3.3询价小组将按上述修正错误的方法调整响应文件中的响应报价，并告知响应供应商，调整后的价格应对响应供应商具有约束力。如果响应供应商不接受修正后的价格，则其响应将被拒绝。</w:t>
      </w:r>
    </w:p>
    <w:p w14:paraId="6C06F532">
      <w:pPr>
        <w:adjustRightInd w:val="0"/>
        <w:snapToGrid w:val="0"/>
        <w:spacing w:line="500" w:lineRule="exact"/>
        <w:ind w:firstLine="560" w:firstLineChars="200"/>
        <w:jc w:val="left"/>
        <w:rPr>
          <w:rFonts w:ascii="宋体" w:hAnsi="宋体" w:cs="宋体"/>
          <w:sz w:val="28"/>
          <w:szCs w:val="28"/>
        </w:rPr>
      </w:pPr>
      <w:r>
        <w:rPr>
          <w:rFonts w:hint="eastAsia" w:ascii="宋体" w:hAnsi="宋体" w:cs="宋体"/>
          <w:sz w:val="28"/>
          <w:szCs w:val="28"/>
        </w:rPr>
        <w:t>3.4本采购项目为一个完整标的，询价小组不接受不完整的响应报价。询价小组有权将未按规定填写的报价视为无效响应。</w:t>
      </w:r>
    </w:p>
    <w:p w14:paraId="171C70C2">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3.5询价小组允许修正响应文件中不构成重大偏离的、微小的、非正规的、不一致的或不规则的地方，但这些修改不能影响任何响应供应商相应的名次排列。</w:t>
      </w:r>
    </w:p>
    <w:p w14:paraId="44DA8B1C">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3.6提供同一品牌同一型号产品的不同响应供应商参加同一合同项下响应的，以其中通过资格性审查、符合性审查且报价最低的参加评审；报价相同的，由询价小组按照采购文件规定的方式（采购文件未规定的通过随机抽取的方式）确定一个参加评审的响应供应商，其他供应商作为无效响应处理。</w:t>
      </w:r>
    </w:p>
    <w:p w14:paraId="18503D17">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3.7响应供应商在询价采购活动全过程中应保持通讯畅通，并安排专人与采购人及询价小组联系。</w:t>
      </w:r>
    </w:p>
    <w:p w14:paraId="390FB52E">
      <w:pPr>
        <w:adjustRightInd w:val="0"/>
        <w:snapToGrid w:val="0"/>
        <w:spacing w:line="500" w:lineRule="exact"/>
        <w:ind w:firstLine="560" w:firstLineChars="200"/>
        <w:rPr>
          <w:rFonts w:ascii="宋体" w:hAnsi="宋体" w:cs="宋体"/>
          <w:b/>
          <w:bCs/>
          <w:sz w:val="28"/>
          <w:szCs w:val="28"/>
        </w:rPr>
      </w:pPr>
      <w:r>
        <w:rPr>
          <w:rFonts w:hint="eastAsia" w:ascii="宋体" w:hAnsi="宋体" w:cs="宋体"/>
          <w:b/>
          <w:bCs/>
          <w:sz w:val="28"/>
          <w:szCs w:val="28"/>
        </w:rPr>
        <w:t>4.无效响应及废标情形</w:t>
      </w:r>
    </w:p>
    <w:p w14:paraId="1D1FA305">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4.1符合下列情形之一者，响应供应商响应无效：</w:t>
      </w:r>
    </w:p>
    <w:p w14:paraId="132ED453">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（1）响应供应商未按本采购文件要求进行制作或密封的；</w:t>
      </w:r>
    </w:p>
    <w:p w14:paraId="4E2E8BF5">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（2）响应文件未按采购文件的要求签字或盖章的。</w:t>
      </w:r>
    </w:p>
    <w:p w14:paraId="36BF3502">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（3）响应文件未按规定加盖供应商印章，投标报价部分未盖章的。</w:t>
      </w:r>
    </w:p>
    <w:p w14:paraId="2B5FDFB7">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（4）响应文件的关键内容字迹模糊，无法辨认的。</w:t>
      </w:r>
    </w:p>
    <w:p w14:paraId="1FD68749">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（5）同一响应供应商提交两个（含两个）以上不同的响应报价的；</w:t>
      </w:r>
    </w:p>
    <w:p w14:paraId="27DC8293">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（6）响应供应商不具备采购文件中规定资格要求的；</w:t>
      </w:r>
    </w:p>
    <w:p w14:paraId="3A29D7E5">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（7）响应供应商的报价超过了采购预算或最高限价的；</w:t>
      </w:r>
    </w:p>
    <w:p w14:paraId="6674DFEF">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（8）未通过资格性、符合性审查的；</w:t>
      </w:r>
    </w:p>
    <w:p w14:paraId="62668987">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（9）不符合询价采购文件中规定的其他实质性要求和条件的；</w:t>
      </w:r>
    </w:p>
    <w:p w14:paraId="7C6355E3">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（10）响应供应商被 “信用中国”网站列入失信被执行人或重大税收违法案件当事人名单或政府采购严重失信行为记录名单。或查询“信用中国”网站后发现响应供应商存在其他不符合《中华人民共和国政府采购法》第二十二条规定条件的信用记录；</w:t>
      </w:r>
    </w:p>
    <w:p w14:paraId="0B6C49F0">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（11）响应文件含有采购人不能接受的附加条件的；</w:t>
      </w:r>
    </w:p>
    <w:p w14:paraId="7B1EA215">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（12）其他法律、法规及本采购文件规定的属无效响应的情形。</w:t>
      </w:r>
    </w:p>
    <w:p w14:paraId="646BE075">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4.2符合下列情形之一者，本采购项目废标：</w:t>
      </w:r>
    </w:p>
    <w:p w14:paraId="73CAE432">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（1）所有合格响应供应商的报价均超过本项目预算金额或最高限价的；</w:t>
      </w:r>
    </w:p>
    <w:p w14:paraId="30356B6F">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（2）出现影响采购公正的违法、违规行为的；</w:t>
      </w:r>
    </w:p>
    <w:p w14:paraId="4907764F">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（3）因重大变故，采购任务取消的；</w:t>
      </w:r>
    </w:p>
    <w:p w14:paraId="55D631C0">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废标后，对于特殊紧急的采购项目，经监管部门批准后采购人可直接改变采购方式，现场继续组织采购活动。</w:t>
      </w:r>
    </w:p>
    <w:p w14:paraId="119CC98A">
      <w:pPr>
        <w:adjustRightInd w:val="0"/>
        <w:snapToGrid w:val="0"/>
        <w:spacing w:line="500" w:lineRule="exact"/>
        <w:ind w:firstLine="560" w:firstLineChars="200"/>
        <w:rPr>
          <w:rFonts w:hint="eastAsia" w:ascii="宋体" w:hAnsi="宋体" w:eastAsia="宋体" w:cs="宋体"/>
          <w:b/>
          <w:bCs/>
          <w:sz w:val="28"/>
          <w:szCs w:val="28"/>
        </w:rPr>
      </w:pP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异常低价投标（响应）审查的情形和具体要求：</w:t>
      </w:r>
    </w:p>
    <w:p w14:paraId="465538F5">
      <w:pPr>
        <w:adjustRightInd w:val="0"/>
        <w:snapToGrid w:val="0"/>
        <w:spacing w:line="500" w:lineRule="exact"/>
        <w:ind w:firstLine="560" w:firstLineChars="200"/>
        <w:rPr>
          <w:rFonts w:hint="eastAsia" w:ascii="宋体" w:hAnsi="宋体" w:cs="宋体"/>
          <w:sz w:val="28"/>
          <w:szCs w:val="28"/>
        </w:rPr>
      </w:pPr>
      <w:r>
        <w:rPr>
          <w:rFonts w:hint="eastAsia" w:ascii="宋体" w:hAnsi="宋体" w:cs="宋体"/>
          <w:sz w:val="28"/>
          <w:szCs w:val="28"/>
        </w:rPr>
        <w:t>（一）评审过程中出现下列情形之一的，评标委员会应当启动异常低价投标（响应）审查程序：</w:t>
      </w:r>
    </w:p>
    <w:p w14:paraId="3CD15AA3">
      <w:pPr>
        <w:adjustRightInd w:val="0"/>
        <w:snapToGrid w:val="0"/>
        <w:spacing w:line="500" w:lineRule="exact"/>
        <w:ind w:firstLine="560" w:firstLineChars="200"/>
        <w:rPr>
          <w:rFonts w:hint="eastAsia" w:ascii="宋体" w:hAnsi="宋体" w:cs="宋体"/>
          <w:sz w:val="28"/>
          <w:szCs w:val="28"/>
        </w:rPr>
      </w:pPr>
      <w:r>
        <w:rPr>
          <w:rFonts w:hint="eastAsia" w:ascii="宋体" w:hAnsi="宋体" w:cs="宋体"/>
          <w:sz w:val="28"/>
          <w:szCs w:val="28"/>
        </w:rPr>
        <w:t>1．投标（响应）报价低于采购项目预算50% 的，即投标（响应）报价&lt;采购项目预算×50% ；</w:t>
      </w:r>
    </w:p>
    <w:p w14:paraId="34ABB46E">
      <w:pPr>
        <w:adjustRightInd w:val="0"/>
        <w:snapToGrid w:val="0"/>
        <w:spacing w:line="500" w:lineRule="exact"/>
        <w:ind w:firstLine="560" w:firstLineChars="200"/>
        <w:rPr>
          <w:rFonts w:hint="eastAsia" w:ascii="宋体" w:hAnsi="宋体" w:cs="宋体"/>
          <w:sz w:val="28"/>
          <w:szCs w:val="28"/>
        </w:rPr>
      </w:pPr>
      <w:r>
        <w:rPr>
          <w:rFonts w:hint="eastAsia" w:ascii="宋体" w:hAnsi="宋体" w:cs="宋体"/>
          <w:sz w:val="28"/>
          <w:szCs w:val="28"/>
        </w:rPr>
        <w:t>2．投标（响应）报价低于采购项目最高限价45% 的，即投标（响应）报价&lt;采购项目最高限价×45% ；</w:t>
      </w:r>
    </w:p>
    <w:p w14:paraId="01875BFD">
      <w:pPr>
        <w:adjustRightInd w:val="0"/>
        <w:snapToGrid w:val="0"/>
        <w:spacing w:line="500" w:lineRule="exact"/>
        <w:ind w:firstLine="560" w:firstLineChars="200"/>
        <w:rPr>
          <w:rFonts w:hint="eastAsia" w:ascii="宋体" w:hAnsi="宋体" w:cs="宋体"/>
          <w:sz w:val="28"/>
          <w:szCs w:val="28"/>
        </w:rPr>
      </w:pPr>
      <w:r>
        <w:rPr>
          <w:rFonts w:hint="eastAsia" w:ascii="宋体" w:hAnsi="宋体" w:cs="宋体"/>
          <w:sz w:val="28"/>
          <w:szCs w:val="28"/>
        </w:rPr>
        <w:t>3．评标委员会认定的供应商报价过低、有可能影响产品质量或者不能诚信履约的其他情形。</w:t>
      </w:r>
    </w:p>
    <w:p w14:paraId="5C587A8A">
      <w:pPr>
        <w:adjustRightInd w:val="0"/>
        <w:snapToGrid w:val="0"/>
        <w:spacing w:line="500" w:lineRule="exact"/>
        <w:ind w:firstLine="560" w:firstLineChars="200"/>
        <w:rPr>
          <w:rFonts w:hint="eastAsia" w:ascii="宋体" w:hAnsi="宋体" w:cs="宋体"/>
          <w:b/>
          <w:bCs/>
          <w:color w:val="auto"/>
          <w:sz w:val="28"/>
          <w:szCs w:val="28"/>
        </w:rPr>
      </w:pPr>
      <w:r>
        <w:rPr>
          <w:rFonts w:hint="eastAsia" w:ascii="宋体" w:hAnsi="宋体" w:cs="宋体"/>
          <w:sz w:val="28"/>
          <w:szCs w:val="28"/>
        </w:rPr>
        <w:t>（二）启动异常低价投标（响应）审查后，评标委员会应当要求相关供应商在合理的时间内通过“苏采云”系统，提供项目具体成本测算等与报价合理性相关的书面说明及相关证明材料，对投标（响应）价格作出解释，由评标委员会结合同类产品在主要电商平台的价格、该行业当地薪资水平等情况，依据专业经验对供应商报价合理性进行判断。投标（响应）供应商不提供书面说明、证明材料，或者提供的书面说明、证明材料不能证明其报价合理性的，评标委员会应当将其作为无效投标（响应）处理。审查相关情况应当在评审报告中进行记录。</w:t>
      </w:r>
    </w:p>
    <w:p w14:paraId="519A4D20">
      <w:pPr>
        <w:adjustRightInd w:val="0"/>
        <w:snapToGrid w:val="0"/>
        <w:spacing w:line="500" w:lineRule="exact"/>
        <w:ind w:firstLine="560" w:firstLineChars="200"/>
        <w:rPr>
          <w:rFonts w:ascii="宋体" w:hAnsi="宋体" w:cs="宋体"/>
          <w:b/>
          <w:bCs/>
          <w:color w:val="auto"/>
          <w:sz w:val="28"/>
          <w:szCs w:val="28"/>
        </w:rPr>
      </w:pPr>
      <w:r>
        <w:rPr>
          <w:rFonts w:hint="eastAsia" w:ascii="宋体" w:hAnsi="宋体" w:cs="宋体"/>
          <w:b/>
          <w:bCs/>
          <w:color w:val="auto"/>
          <w:sz w:val="28"/>
          <w:szCs w:val="28"/>
        </w:rPr>
        <w:t>六、成交原则</w:t>
      </w:r>
    </w:p>
    <w:p w14:paraId="7D4A7FB0">
      <w:pPr>
        <w:adjustRightInd w:val="0"/>
        <w:snapToGrid w:val="0"/>
        <w:spacing w:line="500" w:lineRule="exact"/>
        <w:ind w:firstLine="560" w:firstLineChars="200"/>
        <w:rPr>
          <w:rFonts w:hint="default" w:ascii="宋体" w:hAnsi="宋体" w:eastAsia="宋体" w:cs="宋体"/>
          <w:sz w:val="28"/>
          <w:szCs w:val="28"/>
          <w:highlight w:val="none"/>
          <w:lang w:val="en-US" w:eastAsia="zh-CN"/>
        </w:rPr>
      </w:pPr>
      <w:r>
        <w:rPr>
          <w:rFonts w:hint="default" w:ascii="宋体" w:hAnsi="宋体" w:eastAsia="宋体" w:cs="宋体"/>
          <w:sz w:val="28"/>
          <w:szCs w:val="28"/>
          <w:highlight w:val="none"/>
          <w:lang w:val="en-US" w:eastAsia="zh-CN"/>
        </w:rPr>
        <w:t>1.询价小组将从质量和服务均能满足采购文件实质性响应要求的供应商中，按照报价由低到高顺序推荐1名成交候选供应商，若报价相同时则通过抽签方式随机确定排名顺序，并编写评审报告。</w:t>
      </w:r>
    </w:p>
    <w:p w14:paraId="0BC880F1">
      <w:pPr>
        <w:adjustRightInd w:val="0"/>
        <w:snapToGrid w:val="0"/>
        <w:spacing w:line="500" w:lineRule="exact"/>
        <w:ind w:firstLine="560" w:firstLineChars="200"/>
        <w:rPr>
          <w:rFonts w:hint="default" w:ascii="宋体" w:hAnsi="宋体" w:eastAsia="宋体" w:cs="宋体"/>
          <w:sz w:val="28"/>
          <w:szCs w:val="28"/>
          <w:highlight w:val="none"/>
        </w:rPr>
      </w:pPr>
      <w:r>
        <w:rPr>
          <w:rFonts w:hint="default" w:ascii="宋体" w:hAnsi="宋体" w:eastAsia="宋体" w:cs="宋体"/>
          <w:sz w:val="28"/>
          <w:szCs w:val="28"/>
          <w:highlight w:val="none"/>
          <w:lang w:val="en-US" w:eastAsia="zh-CN"/>
        </w:rPr>
        <w:t>2.采购人应按照询价小组推荐的成交候选供应商确定成交供应商。</w:t>
      </w:r>
    </w:p>
    <w:p w14:paraId="46C1B978">
      <w:pPr>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exact"/>
        <w:ind w:left="0" w:right="0" w:firstLine="560" w:firstLineChars="200"/>
        <w:contextualSpacing/>
        <w:jc w:val="both"/>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3.当成交供应商放弃中标、因不可抗力不能履行合同、不按照询价文件要求提交履约保证金，或者被查实存在影响中标结果的违法行为等情形，不符合中标条件的，采购人依法重新组织招标。</w:t>
      </w:r>
    </w:p>
    <w:p w14:paraId="1FABA4D9">
      <w:pPr>
        <w:keepNext w:val="0"/>
        <w:keepLines w:val="0"/>
        <w:pageBreakBefore w:val="0"/>
        <w:widowControl/>
        <w:suppressLineNumbers w:val="0"/>
        <w:kinsoku/>
        <w:wordWrap/>
        <w:overflowPunct/>
        <w:topLinePunct w:val="0"/>
        <w:autoSpaceDE w:val="0"/>
        <w:autoSpaceDN/>
        <w:bidi w:val="0"/>
        <w:adjustRightInd/>
        <w:snapToGrid w:val="0"/>
        <w:spacing w:before="0" w:beforeAutospacing="0" w:after="0" w:afterAutospacing="0" w:line="560" w:lineRule="exact"/>
        <w:ind w:left="0" w:right="0" w:firstLine="560" w:firstLineChars="200"/>
        <w:contextualSpacing/>
        <w:jc w:val="both"/>
        <w:rPr>
          <w:rFonts w:hint="default" w:ascii="宋体" w:hAnsi="宋体" w:eastAsia="宋体" w:cs="宋体"/>
          <w:sz w:val="28"/>
          <w:szCs w:val="28"/>
          <w:lang w:val="en-US" w:eastAsia="zh-CN"/>
        </w:rPr>
      </w:pPr>
      <w:r>
        <w:rPr>
          <w:rFonts w:hint="eastAsia" w:cs="仿宋" w:asciiTheme="minorEastAsia" w:hAnsiTheme="minorEastAsia" w:eastAsiaTheme="minorEastAsia"/>
          <w:b/>
          <w:bCs w:val="0"/>
          <w:sz w:val="28"/>
          <w:lang w:val="en-US" w:eastAsia="zh-CN"/>
        </w:rPr>
        <w:t>注：</w:t>
      </w:r>
      <w:r>
        <w:rPr>
          <w:rFonts w:hint="eastAsia" w:cs="仿宋" w:asciiTheme="minorEastAsia" w:hAnsiTheme="minorEastAsia" w:eastAsiaTheme="minorEastAsia"/>
          <w:b/>
          <w:bCs w:val="0"/>
          <w:sz w:val="28"/>
        </w:rPr>
        <w:t>投标人不足三家或经评审有效投标人不足三家的，将组织重新招标。</w:t>
      </w:r>
    </w:p>
    <w:p w14:paraId="5EEE25EB">
      <w:pPr>
        <w:adjustRightInd w:val="0"/>
        <w:snapToGrid w:val="0"/>
        <w:spacing w:line="500" w:lineRule="exact"/>
        <w:ind w:firstLine="560" w:firstLineChars="200"/>
        <w:rPr>
          <w:rFonts w:hint="default" w:ascii="Times New Roman" w:hAnsi="Times New Roman" w:eastAsia="仿宋_GB2312" w:cs="Times New Roman"/>
          <w:color w:val="auto"/>
          <w:kern w:val="0"/>
          <w:sz w:val="32"/>
          <w:szCs w:val="32"/>
        </w:rPr>
      </w:pPr>
      <w:r>
        <w:rPr>
          <w:rFonts w:hint="default" w:ascii="宋体" w:hAnsi="宋体" w:eastAsia="宋体" w:cs="宋体"/>
          <w:sz w:val="28"/>
          <w:szCs w:val="28"/>
          <w:lang w:val="en-US" w:eastAsia="zh-CN"/>
        </w:rPr>
        <w:t>4.本办法未尽事宜，由评标委员会依据相关法规研究确定。</w:t>
      </w:r>
    </w:p>
    <w:p w14:paraId="047471EA">
      <w:pPr>
        <w:adjustRightInd w:val="0"/>
        <w:snapToGrid w:val="0"/>
        <w:spacing w:line="500" w:lineRule="exact"/>
        <w:ind w:firstLine="560" w:firstLineChars="200"/>
        <w:rPr>
          <w:rFonts w:ascii="宋体" w:hAnsi="宋体" w:cs="宋体"/>
          <w:b/>
          <w:bCs/>
          <w:sz w:val="28"/>
          <w:szCs w:val="28"/>
        </w:rPr>
      </w:pPr>
      <w:r>
        <w:rPr>
          <w:rFonts w:hint="eastAsia" w:ascii="宋体" w:hAnsi="宋体" w:cs="宋体"/>
          <w:b/>
          <w:bCs/>
          <w:sz w:val="28"/>
          <w:szCs w:val="28"/>
        </w:rPr>
        <w:t>七、成交结果公告</w:t>
      </w:r>
    </w:p>
    <w:p w14:paraId="0961EBF6">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1、采购单位将在“</w:t>
      </w:r>
      <w:r>
        <w:rPr>
          <w:rFonts w:hint="eastAsia" w:ascii="宋体" w:hAnsi="宋体" w:cs="宋体"/>
          <w:sz w:val="28"/>
          <w:szCs w:val="28"/>
          <w:lang w:eastAsia="zh-CN"/>
        </w:rPr>
        <w:t>启东市城市水处理有限公司网站</w:t>
      </w:r>
      <w:r>
        <w:rPr>
          <w:rFonts w:hint="eastAsia" w:ascii="宋体" w:hAnsi="宋体" w:cs="宋体"/>
          <w:sz w:val="28"/>
          <w:szCs w:val="28"/>
        </w:rPr>
        <w:t>”发布成交公告，公告期限为1个工作日。</w:t>
      </w:r>
    </w:p>
    <w:p w14:paraId="04026DD3">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2、若有充分证据证明，成交供应商出现下列情况之一的，一经查实，将被取消成交资格：</w:t>
      </w:r>
    </w:p>
    <w:p w14:paraId="072109B3">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（1）提供虚假材料谋取成交的；</w:t>
      </w:r>
    </w:p>
    <w:p w14:paraId="16C9F957">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（2）向采购人、采购单位行贿或者提供其他不正当利益的；</w:t>
      </w:r>
    </w:p>
    <w:p w14:paraId="0FAC113A">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（3）恶意竞争，响应总报价明显低于其自身合理成本且又无法提供证明的；</w:t>
      </w:r>
    </w:p>
    <w:p w14:paraId="7920FB27">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（4）属于本文件规定的无效条件，但在评审过程中又未被询价小组发现的；</w:t>
      </w:r>
    </w:p>
    <w:p w14:paraId="1FFB5055">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（5）与采购人或者其他供应商恶意串通的；</w:t>
      </w:r>
    </w:p>
    <w:p w14:paraId="101ACEC7">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（6）采取不正当手段诋毁、排挤其他供应商的；</w:t>
      </w:r>
    </w:p>
    <w:p w14:paraId="15FA6C53">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（7）如有涉及对采购文件实质性内容的隐瞒、欺诈或违法违规行为的。</w:t>
      </w:r>
    </w:p>
    <w:p w14:paraId="6A4F8A0E">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3、有下列情形之一的，视为响应供应商串通响应，响应无效：</w:t>
      </w:r>
    </w:p>
    <w:p w14:paraId="4F4340D5">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（1）不同响应供应商的响应文件由同一单位或者个人编制；</w:t>
      </w:r>
    </w:p>
    <w:p w14:paraId="03C158AA">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（2）不同响应供应商委托同一单位或者个人办理响应事宜；</w:t>
      </w:r>
    </w:p>
    <w:p w14:paraId="4BEDE27A">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（3）不同响应供应商的响应文件载明的项目管理成员或者联系人员为同一人；</w:t>
      </w:r>
    </w:p>
    <w:p w14:paraId="220A0CC2">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（4）不同响应供应商的响应文件异常一致或者响应报价呈规律性差异；</w:t>
      </w:r>
    </w:p>
    <w:p w14:paraId="3991E6B8">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（5）不同响应供应商的响应文件相互混装。</w:t>
      </w:r>
    </w:p>
    <w:p w14:paraId="731F743B">
      <w:pPr>
        <w:adjustRightInd w:val="0"/>
        <w:snapToGrid w:val="0"/>
        <w:spacing w:line="500" w:lineRule="exact"/>
        <w:ind w:firstLine="560" w:firstLineChars="200"/>
        <w:rPr>
          <w:rFonts w:ascii="宋体" w:hAnsi="宋体" w:cs="宋体"/>
          <w:b/>
          <w:bCs/>
          <w:sz w:val="28"/>
          <w:szCs w:val="28"/>
        </w:rPr>
      </w:pPr>
      <w:r>
        <w:rPr>
          <w:rFonts w:hint="eastAsia" w:ascii="宋体" w:hAnsi="宋体" w:cs="宋体"/>
          <w:b/>
          <w:bCs/>
          <w:sz w:val="28"/>
          <w:szCs w:val="28"/>
        </w:rPr>
        <w:t>八、质疑处理</w:t>
      </w:r>
    </w:p>
    <w:p w14:paraId="540896DC">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1、提出质疑的供应商应当是参与所质疑项目采购活动的供应商。潜在供应商依法获取其可质疑的采购文件的，可以对采购文件提出质疑。</w:t>
      </w:r>
    </w:p>
    <w:p w14:paraId="7F2EA00B">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2、供应商认为采购文件、采购过程和采购结果使自己的权益受到损害的，可以在知道或应知其权益受到损害之日起七个工作日内，以书面形式向采购人或采购单位提出质疑。上述应知其权益受到损害之日，是指：</w:t>
      </w:r>
    </w:p>
    <w:p w14:paraId="42A5603D">
      <w:pPr>
        <w:adjustRightInd w:val="0"/>
        <w:snapToGrid w:val="0"/>
        <w:spacing w:line="500" w:lineRule="exact"/>
        <w:ind w:firstLine="560" w:firstLineChars="200"/>
        <w:jc w:val="left"/>
        <w:rPr>
          <w:rFonts w:ascii="宋体" w:hAnsi="宋体" w:cs="宋体"/>
          <w:kern w:val="0"/>
          <w:sz w:val="28"/>
          <w:szCs w:val="28"/>
        </w:rPr>
      </w:pPr>
      <w:r>
        <w:rPr>
          <w:rFonts w:hint="eastAsia" w:ascii="宋体" w:hAnsi="宋体" w:cs="宋体"/>
          <w:sz w:val="28"/>
          <w:szCs w:val="28"/>
        </w:rPr>
        <w:t>（1）</w:t>
      </w:r>
      <w:r>
        <w:rPr>
          <w:rFonts w:hint="eastAsia" w:ascii="宋体" w:hAnsi="宋体" w:cs="宋体"/>
          <w:kern w:val="0"/>
          <w:sz w:val="28"/>
          <w:szCs w:val="28"/>
        </w:rPr>
        <w:t>对可以质疑的采购文件提出质疑的，为收到采购文件之日或者采购文件公告期限届满之日；</w:t>
      </w:r>
    </w:p>
    <w:p w14:paraId="55E929A9">
      <w:pPr>
        <w:adjustRightInd w:val="0"/>
        <w:snapToGrid w:val="0"/>
        <w:spacing w:line="500" w:lineRule="exact"/>
        <w:ind w:firstLine="560" w:firstLineChars="200"/>
        <w:jc w:val="left"/>
        <w:rPr>
          <w:rFonts w:ascii="宋体" w:hAnsi="宋体" w:cs="宋体"/>
          <w:kern w:val="0"/>
          <w:sz w:val="28"/>
          <w:szCs w:val="28"/>
        </w:rPr>
      </w:pPr>
      <w:r>
        <w:rPr>
          <w:rFonts w:hint="eastAsia" w:ascii="宋体" w:hAnsi="宋体" w:cs="宋体"/>
          <w:sz w:val="28"/>
          <w:szCs w:val="28"/>
        </w:rPr>
        <w:t>（2）</w:t>
      </w:r>
      <w:r>
        <w:rPr>
          <w:rFonts w:hint="eastAsia" w:ascii="宋体" w:hAnsi="宋体" w:cs="宋体"/>
          <w:kern w:val="0"/>
          <w:sz w:val="28"/>
          <w:szCs w:val="28"/>
        </w:rPr>
        <w:t>对</w:t>
      </w:r>
      <w:r>
        <w:rPr>
          <w:rFonts w:hint="eastAsia" w:ascii="宋体" w:hAnsi="宋体" w:cs="宋体"/>
          <w:sz w:val="28"/>
          <w:szCs w:val="28"/>
        </w:rPr>
        <w:t>采购</w:t>
      </w:r>
      <w:r>
        <w:rPr>
          <w:rFonts w:hint="eastAsia" w:ascii="宋体" w:hAnsi="宋体" w:cs="宋体"/>
          <w:kern w:val="0"/>
          <w:sz w:val="28"/>
          <w:szCs w:val="28"/>
        </w:rPr>
        <w:t>过程提出质疑的，为各采购程序环节结束之日；</w:t>
      </w:r>
    </w:p>
    <w:p w14:paraId="30992052">
      <w:pPr>
        <w:adjustRightInd w:val="0"/>
        <w:snapToGrid w:val="0"/>
        <w:spacing w:line="500" w:lineRule="exact"/>
        <w:ind w:firstLine="560" w:firstLineChars="200"/>
        <w:jc w:val="left"/>
        <w:rPr>
          <w:rFonts w:ascii="宋体" w:hAnsi="宋体" w:cs="宋体"/>
          <w:kern w:val="0"/>
          <w:sz w:val="28"/>
          <w:szCs w:val="28"/>
        </w:rPr>
      </w:pPr>
      <w:r>
        <w:rPr>
          <w:rFonts w:hint="eastAsia" w:ascii="宋体" w:hAnsi="宋体" w:cs="宋体"/>
          <w:sz w:val="28"/>
          <w:szCs w:val="28"/>
        </w:rPr>
        <w:t>（3）</w:t>
      </w:r>
      <w:r>
        <w:rPr>
          <w:rFonts w:hint="eastAsia" w:ascii="宋体" w:hAnsi="宋体" w:cs="宋体"/>
          <w:kern w:val="0"/>
          <w:sz w:val="28"/>
          <w:szCs w:val="28"/>
        </w:rPr>
        <w:t>对中标或者成交结果提出质疑的，为中标或者成交结果公告期限届满之日。</w:t>
      </w:r>
    </w:p>
    <w:p w14:paraId="2DFB7067">
      <w:pPr>
        <w:adjustRightInd w:val="0"/>
        <w:snapToGrid w:val="0"/>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rPr>
        <w:t>供应商应当在法定质疑期内一次性提出针对同一采购程序环节的质疑。</w:t>
      </w:r>
    </w:p>
    <w:p w14:paraId="1E202FDF">
      <w:pPr>
        <w:adjustRightInd w:val="0"/>
        <w:snapToGrid w:val="0"/>
        <w:spacing w:line="500" w:lineRule="exact"/>
        <w:ind w:firstLine="560" w:firstLineChars="200"/>
        <w:jc w:val="left"/>
        <w:rPr>
          <w:rFonts w:ascii="宋体" w:hAnsi="宋体" w:cs="宋体"/>
          <w:sz w:val="28"/>
          <w:szCs w:val="28"/>
        </w:rPr>
      </w:pPr>
      <w:r>
        <w:rPr>
          <w:rFonts w:hint="eastAsia" w:ascii="宋体" w:hAnsi="宋体" w:cs="宋体"/>
          <w:sz w:val="28"/>
          <w:szCs w:val="28"/>
        </w:rPr>
        <w:t>3、质疑函必须按照本采购文件中《质疑函范本》（附件8）要求的格式和内容进行填写。供应商如组成联合体参加响应，则《质疑函范本》中要求签字、盖章、加盖公章之处，联合体各方均须按要求签字、盖章、加盖公章。</w:t>
      </w:r>
    </w:p>
    <w:p w14:paraId="67A53109">
      <w:pPr>
        <w:adjustRightInd w:val="0"/>
        <w:snapToGrid w:val="0"/>
        <w:spacing w:line="500" w:lineRule="exact"/>
        <w:ind w:firstLine="560" w:firstLineChars="200"/>
        <w:jc w:val="left"/>
        <w:rPr>
          <w:rFonts w:ascii="宋体" w:hAnsi="宋体" w:cs="宋体"/>
          <w:b/>
          <w:sz w:val="28"/>
          <w:szCs w:val="28"/>
        </w:rPr>
      </w:pPr>
      <w:r>
        <w:rPr>
          <w:rFonts w:hint="eastAsia" w:ascii="宋体" w:hAnsi="宋体" w:cs="宋体"/>
          <w:sz w:val="28"/>
          <w:szCs w:val="28"/>
        </w:rPr>
        <w:t>4、对采购方式、采购文件中项目需求、供应商资格条件等应当由采购人答复的质疑，请向采购人提出，由采购人负责答复。为方便供应商提起质疑，供应商向采购人以书面形式提交质疑函。</w:t>
      </w:r>
    </w:p>
    <w:p w14:paraId="3754771D">
      <w:pPr>
        <w:adjustRightInd w:val="0"/>
        <w:snapToGrid w:val="0"/>
        <w:spacing w:line="500" w:lineRule="exact"/>
        <w:ind w:firstLine="560" w:firstLineChars="200"/>
        <w:jc w:val="left"/>
        <w:rPr>
          <w:rFonts w:ascii="宋体" w:hAnsi="宋体" w:cs="宋体"/>
          <w:sz w:val="28"/>
          <w:szCs w:val="28"/>
        </w:rPr>
      </w:pPr>
      <w:r>
        <w:rPr>
          <w:rFonts w:hint="eastAsia" w:ascii="宋体" w:hAnsi="宋体" w:cs="宋体"/>
          <w:sz w:val="28"/>
          <w:szCs w:val="28"/>
        </w:rPr>
        <w:t>采购人质疑接收人及联系方式，见采购文件第一部分。</w:t>
      </w:r>
    </w:p>
    <w:p w14:paraId="57FC0732">
      <w:pPr>
        <w:adjustRightInd w:val="0"/>
        <w:snapToGrid w:val="0"/>
        <w:spacing w:line="500" w:lineRule="exact"/>
        <w:ind w:firstLine="560" w:firstLineChars="200"/>
        <w:jc w:val="left"/>
        <w:rPr>
          <w:rFonts w:ascii="宋体" w:hAnsi="宋体" w:cs="宋体"/>
          <w:sz w:val="28"/>
          <w:szCs w:val="28"/>
        </w:rPr>
      </w:pPr>
      <w:r>
        <w:rPr>
          <w:rFonts w:hint="eastAsia" w:ascii="宋体" w:hAnsi="宋体" w:cs="宋体"/>
          <w:sz w:val="28"/>
          <w:szCs w:val="28"/>
        </w:rPr>
        <w:t>5、以下情形的质疑不予受理</w:t>
      </w:r>
    </w:p>
    <w:p w14:paraId="77120B45">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（1）内容不符合《政府采购质疑和投诉办法》第十二条规定的质疑。</w:t>
      </w:r>
    </w:p>
    <w:p w14:paraId="35691F63">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（2）超出政府采购法定期限的质疑。</w:t>
      </w:r>
    </w:p>
    <w:p w14:paraId="5DC42A31">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（3）未参加响应活动的供应商或在响应活动中自身权益未受到损害的供应商所提出的质疑。</w:t>
      </w:r>
    </w:p>
    <w:p w14:paraId="02D726E0">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（4）供应商组成联合体参加响应，联合体中任何一方或多方未按要求签字、盖章、加盖公章的质疑。</w:t>
      </w:r>
    </w:p>
    <w:p w14:paraId="476E79BB">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6、供应商提出书面质疑必须有理、有据，不得捏造事实、提供虚假材料进行恶意质疑。否则，一经查实，采购人及采购代理有权依据政府采购的有关规定，报请政府采购监管部门对该供应商进行相应的行政处罚和记录该供应商的失信信息。</w:t>
      </w:r>
    </w:p>
    <w:p w14:paraId="33612683">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7、成交通知书</w:t>
      </w:r>
    </w:p>
    <w:p w14:paraId="11AED412">
      <w:pPr>
        <w:adjustRightInd w:val="0"/>
        <w:snapToGrid w:val="0"/>
        <w:spacing w:line="500" w:lineRule="exact"/>
        <w:ind w:firstLine="560" w:firstLineChars="200"/>
        <w:rPr>
          <w:rFonts w:ascii="宋体" w:hAnsi="宋体" w:cs="宋体"/>
          <w:color w:val="FF0000"/>
          <w:sz w:val="28"/>
          <w:szCs w:val="28"/>
        </w:rPr>
      </w:pPr>
      <w:r>
        <w:rPr>
          <w:rFonts w:hint="eastAsia" w:ascii="宋体" w:hAnsi="宋体" w:cs="宋体"/>
          <w:sz w:val="28"/>
          <w:szCs w:val="28"/>
        </w:rPr>
        <w:t>成交结果公示发出后，采购人不得违法改变成交结果，成交供应商无正当理由不得放弃成交。</w:t>
      </w:r>
    </w:p>
    <w:p w14:paraId="21071283">
      <w:pPr>
        <w:adjustRightInd w:val="0"/>
        <w:snapToGrid w:val="0"/>
        <w:spacing w:line="500" w:lineRule="exact"/>
        <w:ind w:firstLine="560" w:firstLineChars="200"/>
        <w:rPr>
          <w:rFonts w:ascii="宋体" w:hAnsi="宋体" w:cs="宋体"/>
          <w:b/>
          <w:bCs/>
          <w:sz w:val="28"/>
          <w:szCs w:val="28"/>
        </w:rPr>
      </w:pPr>
      <w:r>
        <w:rPr>
          <w:rFonts w:hint="eastAsia" w:ascii="宋体" w:hAnsi="宋体" w:cs="宋体"/>
          <w:b/>
          <w:bCs/>
          <w:sz w:val="28"/>
          <w:szCs w:val="28"/>
        </w:rPr>
        <w:t>九、授予合同</w:t>
      </w:r>
    </w:p>
    <w:p w14:paraId="15D87F0E">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1.签订合同</w:t>
      </w:r>
    </w:p>
    <w:p w14:paraId="549AEB26">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1.1成交供应商应当在成交通知书发出之日起30天内，按照采购文件确定的事项与采购人签订采购合同，未在规定时间内签订合同的取消其中标资格。</w:t>
      </w:r>
    </w:p>
    <w:p w14:paraId="46EC5B91">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1.2采购文件、成交供应商的响应文件及采购过程中有关澄清、承诺文件均应作为合同附件。</w:t>
      </w:r>
    </w:p>
    <w:p w14:paraId="6380D18E">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1.3签订合同后，成交供应商不得将货物及其他相关服务进行转包。未经采购人同意，成交供应商也不得随意采用分包的形式履行合同，否则采购人有权终止合同，成交供应商的履约保证金将不予退还。政府采购合同分包履行的，成交供应商就采购项目和分包项目向采购人负责，分包供应商就分包项目承担责任。转包或分包造成采购人损失的，成交供应商应承担相应赔偿责任。</w:t>
      </w:r>
    </w:p>
    <w:p w14:paraId="4017FF86">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2.货物和服务的追加、减少和添购</w:t>
      </w:r>
    </w:p>
    <w:p w14:paraId="271C797A">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2.1政府采购合同履行中，采购人需追加与合同标的相同的货物和服务的，在不改变合同其他条款的前提下，可以与成交供应商协商签订补充合同，但所有补充合同的采购金额不超过原合同金额10%。</w:t>
      </w:r>
    </w:p>
    <w:p w14:paraId="4A33A7EB">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2.2采购结束后，采购人若由于各种客观原因，必须对采购项目所牵涉的货物和服务进行适当的减少时，在双方协商一致的前提下，可以按照询价采购时的价格水平做相应的调减，并据此签订补充合同。</w:t>
      </w:r>
    </w:p>
    <w:p w14:paraId="133D2122">
      <w:pPr>
        <w:adjustRightInd w:val="0"/>
        <w:snapToGrid w:val="0"/>
        <w:spacing w:line="500" w:lineRule="exact"/>
        <w:ind w:firstLine="560" w:firstLineChars="200"/>
        <w:rPr>
          <w:rFonts w:ascii="宋体" w:hAnsi="宋体" w:cs="宋体"/>
          <w:sz w:val="28"/>
          <w:szCs w:val="28"/>
        </w:rPr>
      </w:pPr>
      <w:r>
        <w:rPr>
          <w:rFonts w:hint="eastAsia" w:ascii="宋体" w:hAnsi="宋体" w:cs="宋体"/>
          <w:b/>
          <w:sz w:val="28"/>
          <w:szCs w:val="28"/>
        </w:rPr>
        <w:t>十、其他说明</w:t>
      </w:r>
    </w:p>
    <w:p w14:paraId="4322A7A9">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1.法定代表人为同一个人的两个及两个以上法人，母公司、全资子公司及其控股公司，只能有一家单位参加本项目的响应。</w:t>
      </w:r>
    </w:p>
    <w:p w14:paraId="76417D4F">
      <w:pPr>
        <w:adjustRightInd w:val="0"/>
        <w:snapToGrid w:val="0"/>
        <w:spacing w:line="500" w:lineRule="exact"/>
        <w:ind w:firstLine="560" w:firstLineChars="200"/>
        <w:rPr>
          <w:rFonts w:ascii="宋体" w:hAnsi="宋体" w:cs="宋体"/>
          <w:sz w:val="28"/>
          <w:szCs w:val="28"/>
        </w:rPr>
      </w:pPr>
      <w:r>
        <w:rPr>
          <w:rFonts w:hint="eastAsia" w:ascii="宋体" w:hAnsi="宋体" w:cs="宋体"/>
          <w:sz w:val="28"/>
          <w:szCs w:val="28"/>
        </w:rPr>
        <w:t>2.采购人和询价小组不向未成交的响应供应商解释未成交原因，也不公布评审过程中的相关细节。</w:t>
      </w:r>
    </w:p>
    <w:p w14:paraId="6ED077D7">
      <w:pPr>
        <w:adjustRightInd w:val="0"/>
        <w:snapToGrid w:val="0"/>
        <w:spacing w:line="500" w:lineRule="exact"/>
        <w:ind w:firstLine="360"/>
        <w:rPr>
          <w:rFonts w:ascii="宋体" w:hAnsi="宋体" w:cs="宋体"/>
          <w:bCs/>
          <w:sz w:val="36"/>
          <w:szCs w:val="36"/>
        </w:rPr>
      </w:pPr>
      <w:bookmarkStart w:id="56" w:name="_Toc32735"/>
      <w:r>
        <w:rPr>
          <w:rFonts w:hint="eastAsia" w:ascii="宋体" w:hAnsi="宋体" w:cs="宋体"/>
          <w:bCs/>
          <w:sz w:val="36"/>
          <w:szCs w:val="36"/>
        </w:rPr>
        <w:br w:type="page"/>
      </w:r>
    </w:p>
    <w:p w14:paraId="7EBF1CD1">
      <w:pPr>
        <w:pStyle w:val="2"/>
        <w:widowControl/>
        <w:adjustRightInd w:val="0"/>
        <w:snapToGrid w:val="0"/>
        <w:spacing w:before="0" w:after="0" w:line="500" w:lineRule="exact"/>
        <w:ind w:firstLine="360"/>
        <w:jc w:val="center"/>
        <w:rPr>
          <w:rFonts w:ascii="宋体" w:hAnsi="宋体" w:cs="宋体"/>
          <w:b w:val="0"/>
          <w:sz w:val="36"/>
          <w:szCs w:val="36"/>
        </w:rPr>
      </w:pPr>
      <w:r>
        <w:rPr>
          <w:rFonts w:hint="eastAsia" w:ascii="宋体" w:hAnsi="宋体" w:cs="宋体"/>
          <w:b w:val="0"/>
          <w:sz w:val="36"/>
          <w:szCs w:val="36"/>
        </w:rPr>
        <w:t>第三部分  项目需求</w:t>
      </w:r>
    </w:p>
    <w:p w14:paraId="7270C286">
      <w:pPr>
        <w:adjustRightInd w:val="0"/>
        <w:snapToGrid w:val="0"/>
        <w:spacing w:line="500" w:lineRule="exact"/>
        <w:ind w:firstLine="560" w:firstLineChars="200"/>
        <w:rPr>
          <w:rFonts w:ascii="宋体" w:hAnsi="宋体" w:cs="宋体"/>
          <w:b/>
          <w:bCs/>
          <w:sz w:val="28"/>
          <w:szCs w:val="28"/>
        </w:rPr>
      </w:pPr>
      <w:bookmarkStart w:id="57" w:name="_Toc82505662"/>
      <w:r>
        <w:rPr>
          <w:rFonts w:hint="eastAsia" w:ascii="宋体" w:hAnsi="宋体" w:cs="宋体"/>
          <w:b/>
          <w:bCs/>
          <w:sz w:val="28"/>
          <w:szCs w:val="28"/>
        </w:rPr>
        <w:t>响应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7E1720B7">
      <w:pPr>
        <w:adjustRightInd w:val="0"/>
        <w:snapToGrid w:val="0"/>
        <w:spacing w:line="500" w:lineRule="exact"/>
        <w:ind w:firstLine="560" w:firstLineChars="200"/>
        <w:rPr>
          <w:rFonts w:ascii="宋体" w:hAnsi="宋体" w:cs="宋体"/>
          <w:b/>
          <w:bCs/>
          <w:sz w:val="28"/>
          <w:szCs w:val="28"/>
        </w:rPr>
      </w:pPr>
      <w:r>
        <w:rPr>
          <w:rFonts w:hint="eastAsia" w:ascii="宋体" w:hAnsi="宋体" w:cs="宋体"/>
          <w:b/>
          <w:bCs/>
          <w:sz w:val="28"/>
          <w:szCs w:val="28"/>
        </w:rPr>
        <w:t>响应供应商不能简单照搬照抄采购文件项目需求说明中的技术、商务要求，必须作实事求是的响应。如响应供应商提供的货物和服务同采购人提出的项目需求说明中的技术、商务要求不同的，必须在《商务部分正负偏离表》和《技术部分正负偏离表》上明示。</w:t>
      </w:r>
    </w:p>
    <w:p w14:paraId="735B94AC">
      <w:pPr>
        <w:adjustRightInd w:val="0"/>
        <w:snapToGrid w:val="0"/>
        <w:spacing w:line="500" w:lineRule="exact"/>
        <w:ind w:firstLine="560" w:firstLineChars="200"/>
        <w:rPr>
          <w:rFonts w:ascii="宋体" w:hAnsi="宋体" w:cs="宋体"/>
          <w:b/>
          <w:bCs/>
          <w:sz w:val="28"/>
          <w:szCs w:val="28"/>
        </w:rPr>
      </w:pPr>
      <w:r>
        <w:rPr>
          <w:rFonts w:hint="eastAsia" w:ascii="宋体" w:hAnsi="宋体" w:cs="宋体"/>
          <w:b/>
          <w:bCs/>
          <w:sz w:val="28"/>
          <w:szCs w:val="28"/>
        </w:rPr>
        <w:t>其内容包含：（备注：不限于下述内容。)</w:t>
      </w:r>
    </w:p>
    <w:p w14:paraId="154C9576">
      <w:pPr>
        <w:adjustRightInd w:val="0"/>
        <w:snapToGrid w:val="0"/>
        <w:spacing w:line="460" w:lineRule="exact"/>
        <w:ind w:firstLine="560" w:firstLineChars="200"/>
        <w:rPr>
          <w:rFonts w:hint="eastAsia" w:ascii="宋体" w:hAnsi="宋体" w:cs="宋体"/>
          <w:b/>
          <w:bCs/>
          <w:sz w:val="28"/>
          <w:szCs w:val="28"/>
        </w:rPr>
      </w:pPr>
      <w:bookmarkStart w:id="58" w:name="_Toc2567_WPSOffice_Level2"/>
      <w:bookmarkStart w:id="59" w:name="_Toc5563"/>
      <w:bookmarkStart w:id="60" w:name="_Toc25039"/>
      <w:r>
        <w:rPr>
          <w:rFonts w:hint="eastAsia" w:ascii="宋体" w:hAnsi="宋体" w:cs="宋体"/>
          <w:b/>
          <w:bCs/>
          <w:sz w:val="28"/>
          <w:szCs w:val="28"/>
        </w:rPr>
        <w:t>一、</w:t>
      </w:r>
      <w:r>
        <w:rPr>
          <w:rFonts w:hint="eastAsia" w:ascii="宋体" w:hAnsi="宋体" w:cs="宋体"/>
          <w:b/>
          <w:bCs/>
          <w:sz w:val="28"/>
          <w:szCs w:val="28"/>
          <w:lang w:val="en-US" w:eastAsia="zh-CN"/>
        </w:rPr>
        <w:t>采购需求：</w:t>
      </w:r>
    </w:p>
    <w:bookmarkEnd w:id="58"/>
    <w:bookmarkEnd w:id="59"/>
    <w:bookmarkEnd w:id="60"/>
    <w:tbl>
      <w:tblPr>
        <w:tblStyle w:val="19"/>
        <w:tblW w:w="95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6"/>
        <w:gridCol w:w="1631"/>
        <w:gridCol w:w="764"/>
        <w:gridCol w:w="984"/>
        <w:gridCol w:w="3360"/>
        <w:gridCol w:w="2035"/>
      </w:tblGrid>
      <w:tr w14:paraId="082EA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10DA97F5">
            <w:pPr>
              <w:keepNext w:val="0"/>
              <w:keepLines w:val="0"/>
              <w:widowControl/>
              <w:suppressLineNumbers w:val="0"/>
              <w:ind w:left="0" w:leftChars="0" w:firstLine="0" w:firstLineChars="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序号</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45DCD268">
            <w:pPr>
              <w:keepNext w:val="0"/>
              <w:keepLines w:val="0"/>
              <w:widowControl/>
              <w:suppressLineNumbers w:val="0"/>
              <w:ind w:left="0" w:leftChars="0" w:firstLine="0" w:firstLineChars="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产品名称</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7F07DD82">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数量</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1CC646E">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单位</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5389575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说明</w:t>
            </w:r>
          </w:p>
        </w:tc>
        <w:tc>
          <w:tcPr>
            <w:tcW w:w="2035" w:type="dxa"/>
            <w:tcBorders>
              <w:top w:val="single" w:color="000000" w:sz="4" w:space="0"/>
              <w:left w:val="single" w:color="000000" w:sz="4" w:space="0"/>
              <w:bottom w:val="single" w:color="000000" w:sz="4" w:space="0"/>
              <w:right w:val="single" w:color="000000" w:sz="4" w:space="0"/>
            </w:tcBorders>
            <w:noWrap/>
            <w:vAlign w:val="center"/>
          </w:tcPr>
          <w:p w14:paraId="16ACE4D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备注</w:t>
            </w:r>
          </w:p>
        </w:tc>
      </w:tr>
      <w:tr w14:paraId="37AFC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70A5DA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66945A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防水型多参数测控终端</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FD066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0971E1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套</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21D4949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具有防爆、防水，耐高湿热、高腐蚀环境；</w:t>
            </w:r>
          </w:p>
        </w:tc>
        <w:tc>
          <w:tcPr>
            <w:tcW w:w="2035" w:type="dxa"/>
            <w:tcBorders>
              <w:top w:val="single" w:color="000000" w:sz="4" w:space="0"/>
              <w:left w:val="single" w:color="000000" w:sz="4" w:space="0"/>
              <w:bottom w:val="single" w:color="000000" w:sz="4" w:space="0"/>
              <w:right w:val="single" w:color="000000" w:sz="4" w:space="0"/>
            </w:tcBorders>
            <w:noWrap w:val="0"/>
            <w:vAlign w:val="center"/>
          </w:tcPr>
          <w:p w14:paraId="28FA853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具体参数见技术要求</w:t>
            </w:r>
          </w:p>
        </w:tc>
      </w:tr>
      <w:tr w14:paraId="7D29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6C9E98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566C28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氯离子传感器</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81ABE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1AD3E7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套</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7E083C2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量程：氯离子浓度：3~3500 mg/L，PH：5-10，温度：0-40℃；       标配电缆长度：10米 ；</w:t>
            </w:r>
          </w:p>
        </w:tc>
        <w:tc>
          <w:tcPr>
            <w:tcW w:w="2035" w:type="dxa"/>
            <w:tcBorders>
              <w:top w:val="single" w:color="000000" w:sz="4" w:space="0"/>
              <w:left w:val="single" w:color="000000" w:sz="4" w:space="0"/>
              <w:bottom w:val="single" w:color="000000" w:sz="4" w:space="0"/>
              <w:right w:val="single" w:color="000000" w:sz="4" w:space="0"/>
            </w:tcBorders>
            <w:noWrap w:val="0"/>
            <w:vAlign w:val="center"/>
          </w:tcPr>
          <w:p w14:paraId="2C0ECCF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具体参数见技术要求</w:t>
            </w:r>
          </w:p>
        </w:tc>
      </w:tr>
      <w:tr w14:paraId="6AA5A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3D4C00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422830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水质监测平台</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16CB6A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EA846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年</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1F90CFC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含网页版及手机APP(限安卓)；                                   平台功能：实时数据、历史数据、数据图表分析、短信预警等（接入原有平台）。</w:t>
            </w:r>
          </w:p>
        </w:tc>
        <w:tc>
          <w:tcPr>
            <w:tcW w:w="2035" w:type="dxa"/>
            <w:tcBorders>
              <w:top w:val="single" w:color="000000" w:sz="4" w:space="0"/>
              <w:left w:val="single" w:color="000000" w:sz="4" w:space="0"/>
              <w:bottom w:val="single" w:color="000000" w:sz="4" w:space="0"/>
              <w:right w:val="single" w:color="000000" w:sz="4" w:space="0"/>
            </w:tcBorders>
            <w:noWrap w:val="0"/>
            <w:vAlign w:val="center"/>
          </w:tcPr>
          <w:p w14:paraId="257B55A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具体参数见技术要求</w:t>
            </w:r>
          </w:p>
        </w:tc>
      </w:tr>
      <w:tr w14:paraId="787D6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7C8B34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524EF9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DO探头</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28137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23EF7A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6B3D439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PFDO-700溶解氧传感器 ，包含安装调试</w:t>
            </w:r>
          </w:p>
        </w:tc>
        <w:tc>
          <w:tcPr>
            <w:tcW w:w="2035" w:type="dxa"/>
            <w:tcBorders>
              <w:top w:val="single" w:color="000000" w:sz="4" w:space="0"/>
              <w:left w:val="single" w:color="000000" w:sz="4" w:space="0"/>
              <w:bottom w:val="single" w:color="000000" w:sz="4" w:space="0"/>
              <w:right w:val="single" w:color="000000" w:sz="4" w:space="0"/>
            </w:tcBorders>
            <w:noWrap w:val="0"/>
            <w:vAlign w:val="center"/>
          </w:tcPr>
          <w:p w14:paraId="01D0943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需与UNI-20型通用变送器配套</w:t>
            </w:r>
          </w:p>
        </w:tc>
      </w:tr>
      <w:tr w14:paraId="6E6C7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21F284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7C1DCF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ORP探头</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17B78B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A7803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44EC597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POP-500ORP传感器，包含安装调试</w:t>
            </w:r>
          </w:p>
        </w:tc>
        <w:tc>
          <w:tcPr>
            <w:tcW w:w="2035" w:type="dxa"/>
            <w:tcBorders>
              <w:top w:val="single" w:color="000000" w:sz="4" w:space="0"/>
              <w:left w:val="single" w:color="000000" w:sz="4" w:space="0"/>
              <w:bottom w:val="single" w:color="000000" w:sz="4" w:space="0"/>
              <w:right w:val="single" w:color="000000" w:sz="4" w:space="0"/>
            </w:tcBorders>
            <w:noWrap w:val="0"/>
            <w:vAlign w:val="center"/>
          </w:tcPr>
          <w:p w14:paraId="4DD8004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需与UNI-20型通用变送器配套</w:t>
            </w:r>
          </w:p>
        </w:tc>
      </w:tr>
      <w:tr w14:paraId="0F779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726" w:type="dxa"/>
            <w:tcBorders>
              <w:top w:val="single" w:color="000000" w:sz="4" w:space="0"/>
              <w:left w:val="single" w:color="000000" w:sz="4" w:space="0"/>
              <w:bottom w:val="single" w:color="000000" w:sz="4" w:space="0"/>
              <w:right w:val="single" w:color="000000" w:sz="4" w:space="0"/>
            </w:tcBorders>
            <w:noWrap w:val="0"/>
            <w:vAlign w:val="center"/>
          </w:tcPr>
          <w:p w14:paraId="570B0D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3A953E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超声波液位计</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13364E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noWrap w:val="0"/>
            <w:vAlign w:val="center"/>
          </w:tcPr>
          <w:p w14:paraId="30C9E7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3360" w:type="dxa"/>
            <w:tcBorders>
              <w:top w:val="single" w:color="000000" w:sz="4" w:space="0"/>
              <w:left w:val="single" w:color="000000" w:sz="4" w:space="0"/>
              <w:bottom w:val="single" w:color="000000" w:sz="4" w:space="0"/>
              <w:right w:val="single" w:color="000000" w:sz="4" w:space="0"/>
            </w:tcBorders>
            <w:noWrap w:val="0"/>
            <w:vAlign w:val="center"/>
          </w:tcPr>
          <w:p w14:paraId="1508805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量程：0-10米；包含不锈钢支架及安装调试，信号需接入污水厂中控系统</w:t>
            </w:r>
          </w:p>
        </w:tc>
        <w:tc>
          <w:tcPr>
            <w:tcW w:w="2035" w:type="dxa"/>
            <w:tcBorders>
              <w:top w:val="single" w:color="000000" w:sz="4" w:space="0"/>
              <w:left w:val="single" w:color="000000" w:sz="4" w:space="0"/>
              <w:bottom w:val="single" w:color="000000" w:sz="4" w:space="0"/>
              <w:right w:val="single" w:color="000000" w:sz="4" w:space="0"/>
            </w:tcBorders>
            <w:noWrap w:val="0"/>
            <w:vAlign w:val="center"/>
          </w:tcPr>
          <w:p w14:paraId="7555DBA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用于污水厂进水泵房</w:t>
            </w:r>
          </w:p>
        </w:tc>
      </w:tr>
      <w:tr w14:paraId="1E93A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8" w:hRule="atLeast"/>
          <w:jc w:val="center"/>
        </w:trPr>
        <w:tc>
          <w:tcPr>
            <w:tcW w:w="9500" w:type="dxa"/>
            <w:gridSpan w:val="6"/>
            <w:tcBorders>
              <w:top w:val="single" w:color="000000" w:sz="4" w:space="0"/>
              <w:left w:val="single" w:color="000000" w:sz="4" w:space="0"/>
              <w:bottom w:val="single" w:color="000000" w:sz="4" w:space="0"/>
              <w:right w:val="single" w:color="000000" w:sz="4" w:space="0"/>
            </w:tcBorders>
            <w:noWrap w:val="0"/>
            <w:vAlign w:val="center"/>
          </w:tcPr>
          <w:p w14:paraId="61E5BAC1">
            <w:pPr>
              <w:keepNext w:val="0"/>
              <w:keepLines w:val="0"/>
              <w:widowControl/>
              <w:numPr>
                <w:ilvl w:val="0"/>
                <w:numId w:val="0"/>
              </w:numPr>
              <w:suppressLineNumbers w:val="0"/>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1、水质监测平台费用中包含2年数据流量费用，水质监测平台及APP使用费用。</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 xml:space="preserve">2、防水型多参数测控终端、氯离子传感器产品质保2年，水质监测平台（软件）需终身免费维护、升级。                               </w:t>
            </w:r>
          </w:p>
          <w:p w14:paraId="7E291CFB">
            <w:pPr>
              <w:keepNext w:val="0"/>
              <w:keepLines w:val="0"/>
              <w:widowControl/>
              <w:numPr>
                <w:ilvl w:val="0"/>
                <w:numId w:val="0"/>
              </w:numPr>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3、以上所有项目均需根据我方要求进行安装调试。</w:t>
            </w:r>
          </w:p>
        </w:tc>
      </w:tr>
      <w:tr w14:paraId="79D7B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jc w:val="center"/>
        </w:trPr>
        <w:tc>
          <w:tcPr>
            <w:tcW w:w="9500" w:type="dxa"/>
            <w:gridSpan w:val="6"/>
            <w:tcBorders>
              <w:top w:val="single" w:color="000000" w:sz="4" w:space="0"/>
              <w:left w:val="single" w:color="000000" w:sz="4" w:space="0"/>
              <w:bottom w:val="single" w:color="000000" w:sz="4" w:space="0"/>
              <w:right w:val="single" w:color="000000" w:sz="4" w:space="0"/>
            </w:tcBorders>
            <w:noWrap w:val="0"/>
            <w:vAlign w:val="center"/>
          </w:tcPr>
          <w:p w14:paraId="2E9A7D0F">
            <w:pPr>
              <w:ind w:left="0" w:leftChars="0" w:firstLine="0" w:firstLineChars="0"/>
              <w:rPr>
                <w:rFonts w:hint="default" w:ascii="Times New Roman" w:hAnsi="Times New Roman" w:cs="Times New Roman"/>
                <w:b/>
                <w:bCs/>
                <w:sz w:val="28"/>
                <w:szCs w:val="36"/>
              </w:rPr>
            </w:pPr>
            <w:r>
              <w:rPr>
                <w:rFonts w:hint="default" w:ascii="Times New Roman" w:hAnsi="Times New Roman" w:cs="Times New Roman"/>
                <w:b/>
                <w:bCs/>
                <w:sz w:val="28"/>
                <w:szCs w:val="36"/>
              </w:rPr>
              <w:t>窨井式氯离子监控终端技术要求</w:t>
            </w:r>
          </w:p>
          <w:p w14:paraId="34746184">
            <w:pPr>
              <w:ind w:left="0" w:leftChars="0" w:firstLine="0" w:firstLineChars="0"/>
              <w:rPr>
                <w:rFonts w:hint="default" w:ascii="Times New Roman" w:hAnsi="Times New Roman" w:cs="Times New Roman"/>
                <w:b/>
                <w:bCs/>
                <w:sz w:val="24"/>
                <w:szCs w:val="32"/>
              </w:rPr>
            </w:pPr>
            <w:r>
              <w:rPr>
                <w:rFonts w:hint="default" w:ascii="Times New Roman" w:hAnsi="Times New Roman" w:cs="Times New Roman"/>
                <w:b/>
                <w:bCs/>
                <w:sz w:val="24"/>
                <w:szCs w:val="32"/>
              </w:rPr>
              <w:t>监控终端</w:t>
            </w:r>
          </w:p>
          <w:p w14:paraId="58C1663F">
            <w:pPr>
              <w:rPr>
                <w:rFonts w:hint="default" w:ascii="Times New Roman" w:hAnsi="Times New Roman" w:cs="Times New Roman"/>
              </w:rPr>
            </w:pPr>
            <w:r>
              <w:rPr>
                <w:rFonts w:hint="default" w:ascii="Times New Roman" w:hAnsi="Times New Roman" w:cs="Times New Roman"/>
              </w:rPr>
              <w:t>一、用途：集数据采集、数据通信及监控于一体，可支持最多6支MODBUS485传感器（pH、、氯离子、电导率、溶解氧、氨氮、UVCOD、浊度、SS、静压液位、多普勒流量计等），满足在窨井及其他复杂情况下的水质水位监测需求。</w:t>
            </w:r>
          </w:p>
          <w:p w14:paraId="1D195435">
            <w:pPr>
              <w:rPr>
                <w:rFonts w:hint="default" w:ascii="Times New Roman" w:hAnsi="Times New Roman" w:cs="Times New Roman"/>
              </w:rPr>
            </w:pPr>
            <w:r>
              <w:rPr>
                <w:rFonts w:hint="default" w:ascii="Times New Roman" w:hAnsi="Times New Roman" w:cs="Times New Roman"/>
              </w:rPr>
              <w:t>二、功能：</w:t>
            </w:r>
          </w:p>
          <w:p w14:paraId="0839DBA6">
            <w:pPr>
              <w:rPr>
                <w:rFonts w:hint="default" w:ascii="Times New Roman" w:hAnsi="Times New Roman" w:cs="Times New Roman"/>
              </w:rPr>
            </w:pPr>
            <w:r>
              <w:rPr>
                <w:rFonts w:hint="default" w:ascii="Times New Roman" w:hAnsi="Times New Roman" w:cs="Times New Roman"/>
              </w:rPr>
              <w:t>1、一体化设计，结构紧凑，提高设备稳定性、可靠性和精度；</w:t>
            </w:r>
          </w:p>
          <w:p w14:paraId="10B4F7DA">
            <w:pPr>
              <w:rPr>
                <w:rFonts w:hint="default" w:ascii="Times New Roman" w:hAnsi="Times New Roman" w:cs="Times New Roman"/>
              </w:rPr>
            </w:pPr>
            <w:r>
              <w:rPr>
                <w:rFonts w:hint="default" w:ascii="Times New Roman" w:hAnsi="Times New Roman" w:cs="Times New Roman"/>
              </w:rPr>
              <w:t>2、监控终端具有防爆认证；具有耐高湿热、高腐蚀环境；</w:t>
            </w:r>
          </w:p>
          <w:p w14:paraId="0EA66EA7">
            <w:pPr>
              <w:rPr>
                <w:rFonts w:hint="default" w:ascii="Times New Roman" w:hAnsi="Times New Roman" w:cs="Times New Roman"/>
              </w:rPr>
            </w:pPr>
            <w:r>
              <w:rPr>
                <w:rFonts w:hint="default" w:ascii="Times New Roman" w:hAnsi="Times New Roman" w:cs="Times New Roman"/>
              </w:rPr>
              <w:t>3、可扩展性：最多可扩展至6路MODBUS信号输入，不同通道支持接入不同波特率传感器输入；</w:t>
            </w:r>
          </w:p>
          <w:p w14:paraId="3F533399">
            <w:pPr>
              <w:rPr>
                <w:rFonts w:hint="default" w:ascii="Times New Roman" w:hAnsi="Times New Roman" w:cs="Times New Roman"/>
              </w:rPr>
            </w:pPr>
            <w:r>
              <w:rPr>
                <w:rFonts w:hint="default" w:ascii="Times New Roman" w:hAnsi="Times New Roman" w:cs="Times New Roman"/>
              </w:rPr>
              <w:t>4、设备通过 IP68 防水防尘认证和工作温度范围认证，工作温度至少在-20℃至 85℃ 区间，≥95%Rh 湿度或在水下均能够连续正常工作，内部电路必须具有防雷设计，防浪涌不低于 4000Vdc。</w:t>
            </w:r>
          </w:p>
          <w:p w14:paraId="1F7884A2">
            <w:pPr>
              <w:rPr>
                <w:rFonts w:hint="default" w:ascii="Times New Roman" w:hAnsi="Times New Roman" w:cs="Times New Roman"/>
              </w:rPr>
            </w:pPr>
            <w:r>
              <w:rPr>
                <w:rFonts w:hint="default" w:ascii="Times New Roman" w:hAnsi="Times New Roman" w:cs="Times New Roman"/>
              </w:rPr>
              <w:t>5、可选外部5~28VDC电源供电，包括太阳能供电、外部电池供电、常规市电通过电源适配器转换等其他供电方式。</w:t>
            </w:r>
          </w:p>
          <w:p w14:paraId="5016C038">
            <w:pPr>
              <w:rPr>
                <w:rFonts w:hint="default" w:ascii="Times New Roman" w:hAnsi="Times New Roman" w:cs="Times New Roman"/>
              </w:rPr>
            </w:pPr>
            <w:r>
              <w:rPr>
                <w:rFonts w:hint="default" w:ascii="Times New Roman" w:hAnsi="Times New Roman" w:cs="Times New Roman"/>
              </w:rPr>
              <w:t>6、设备具有工作状态指示灯，方便现场判断设备的运行状态</w:t>
            </w:r>
          </w:p>
          <w:p w14:paraId="644AAF40">
            <w:pPr>
              <w:rPr>
                <w:rFonts w:hint="default" w:ascii="Times New Roman" w:hAnsi="Times New Roman" w:cs="Times New Roman"/>
              </w:rPr>
            </w:pPr>
            <w:r>
              <w:rPr>
                <w:rFonts w:hint="default" w:ascii="Times New Roman" w:hAnsi="Times New Roman" w:cs="Times New Roman"/>
              </w:rPr>
              <w:t>7、主机采用微功耗设计，休眠电流≤50μA</w:t>
            </w:r>
          </w:p>
          <w:p w14:paraId="2B75F3DA">
            <w:pPr>
              <w:rPr>
                <w:rFonts w:hint="default" w:ascii="Times New Roman" w:hAnsi="Times New Roman" w:cs="Times New Roman"/>
              </w:rPr>
            </w:pPr>
            <w:r>
              <w:rPr>
                <w:rFonts w:hint="default" w:ascii="Times New Roman" w:hAnsi="Times New Roman" w:cs="Times New Roman"/>
              </w:rPr>
              <w:t>8、支持现场有线和远程无线多种参数配置方式</w:t>
            </w:r>
          </w:p>
          <w:p w14:paraId="4B6225D1">
            <w:pPr>
              <w:rPr>
                <w:rFonts w:hint="default" w:ascii="Times New Roman" w:hAnsi="Times New Roman" w:cs="Times New Roman"/>
              </w:rPr>
            </w:pPr>
            <w:r>
              <w:rPr>
                <w:rFonts w:hint="default" w:ascii="Times New Roman" w:hAnsi="Times New Roman" w:cs="Times New Roman"/>
              </w:rPr>
              <w:t>9、支持网络校时，实现全网时钟同步，保持设备时间一致性，从而实现数据时间一致性</w:t>
            </w:r>
          </w:p>
          <w:p w14:paraId="0BC5C425">
            <w:pPr>
              <w:rPr>
                <w:rFonts w:hint="default" w:ascii="Times New Roman" w:hAnsi="Times New Roman" w:cs="Times New Roman"/>
              </w:rPr>
            </w:pPr>
            <w:r>
              <w:rPr>
                <w:rFonts w:hint="default" w:ascii="Times New Roman" w:hAnsi="Times New Roman" w:cs="Times New Roman"/>
              </w:rPr>
              <w:t>10、支持三级报警唤醒方式，可自由设置三级报警的对应限制，及采集和上报间隔周期</w:t>
            </w:r>
          </w:p>
          <w:p w14:paraId="297C46A3">
            <w:pPr>
              <w:rPr>
                <w:rFonts w:hint="default" w:ascii="Times New Roman" w:hAnsi="Times New Roman" w:cs="Times New Roman"/>
              </w:rPr>
            </w:pPr>
            <w:r>
              <w:rPr>
                <w:rFonts w:hint="default" w:ascii="Times New Roman" w:hAnsi="Times New Roman" w:cs="Times New Roman"/>
              </w:rPr>
              <w:t>11、多种工作模式，包括正常模式、预警模式、告警模式。</w:t>
            </w:r>
          </w:p>
          <w:p w14:paraId="1B635C5A">
            <w:pPr>
              <w:rPr>
                <w:rFonts w:hint="default" w:ascii="Times New Roman" w:hAnsi="Times New Roman" w:cs="Times New Roman"/>
              </w:rPr>
            </w:pPr>
            <w:r>
              <w:rPr>
                <w:rFonts w:hint="default" w:ascii="Times New Roman" w:hAnsi="Times New Roman" w:cs="Times New Roman"/>
              </w:rPr>
              <w:t>12、具有参数超限警报功能和仪器故障告警功能。</w:t>
            </w:r>
          </w:p>
          <w:p w14:paraId="48CE1F86">
            <w:pPr>
              <w:rPr>
                <w:rFonts w:hint="default" w:ascii="Times New Roman" w:hAnsi="Times New Roman" w:cs="Times New Roman"/>
              </w:rPr>
            </w:pPr>
            <w:r>
              <w:rPr>
                <w:rFonts w:hint="default" w:ascii="Times New Roman" w:hAnsi="Times New Roman" w:cs="Times New Roman"/>
              </w:rPr>
              <w:t>13、数据存储：设备具30万条数据，可存储一年以上的监测数据</w:t>
            </w:r>
          </w:p>
          <w:p w14:paraId="25396CBA">
            <w:pPr>
              <w:rPr>
                <w:rFonts w:hint="default" w:ascii="Times New Roman" w:hAnsi="Times New Roman" w:cs="Times New Roman"/>
              </w:rPr>
            </w:pPr>
            <w:r>
              <w:rPr>
                <w:rFonts w:hint="default" w:ascii="Times New Roman" w:hAnsi="Times New Roman" w:cs="Times New Roman"/>
              </w:rPr>
              <w:t>14、设备可自动补报未上传的历史数据，保证数据连续</w:t>
            </w:r>
          </w:p>
          <w:p w14:paraId="3EDE00FD">
            <w:pPr>
              <w:rPr>
                <w:rFonts w:hint="default" w:ascii="Times New Roman" w:hAnsi="Times New Roman" w:cs="Times New Roman"/>
              </w:rPr>
            </w:pPr>
            <w:r>
              <w:rPr>
                <w:rFonts w:hint="default" w:ascii="Times New Roman" w:hAnsi="Times New Roman" w:cs="Times New Roman"/>
              </w:rPr>
              <w:t>15、提供专门开发的配套配置调试专用软件，便于配置参数</w:t>
            </w:r>
          </w:p>
          <w:p w14:paraId="33AD6D99">
            <w:pPr>
              <w:rPr>
                <w:rFonts w:hint="default" w:ascii="Times New Roman" w:hAnsi="Times New Roman" w:cs="Times New Roman"/>
              </w:rPr>
            </w:pPr>
            <w:r>
              <w:rPr>
                <w:rFonts w:hint="default" w:ascii="Times New Roman" w:hAnsi="Times New Roman" w:cs="Times New Roman"/>
              </w:rPr>
              <w:t>16、具有自动重启功能，当设备多次未收到服务器数据后自动重启</w:t>
            </w:r>
          </w:p>
          <w:p w14:paraId="7E9253ED">
            <w:pPr>
              <w:rPr>
                <w:rFonts w:hint="default" w:ascii="Times New Roman" w:hAnsi="Times New Roman" w:cs="Times New Roman"/>
              </w:rPr>
            </w:pPr>
            <w:r>
              <w:rPr>
                <w:rFonts w:hint="default" w:ascii="Times New Roman" w:hAnsi="Times New Roman" w:cs="Times New Roman"/>
              </w:rPr>
              <w:t>17、采用定制天线，信号接受能力强，可适用于窨井内，半地下室等信号差的场合。</w:t>
            </w:r>
          </w:p>
          <w:p w14:paraId="6CFF1DF5">
            <w:pPr>
              <w:rPr>
                <w:rFonts w:hint="default" w:ascii="Times New Roman" w:hAnsi="Times New Roman" w:cs="Times New Roman"/>
              </w:rPr>
            </w:pPr>
            <w:r>
              <w:rPr>
                <w:rFonts w:hint="default" w:ascii="Times New Roman" w:hAnsi="Times New Roman" w:cs="Times New Roman"/>
              </w:rPr>
              <w:t>18、安装快捷方便，无需下井操作，易拆卸；</w:t>
            </w:r>
          </w:p>
          <w:p w14:paraId="04AFD34C">
            <w:pPr>
              <w:rPr>
                <w:rFonts w:hint="default" w:ascii="Times New Roman" w:hAnsi="Times New Roman" w:cs="Times New Roman"/>
              </w:rPr>
            </w:pPr>
            <w:r>
              <w:rPr>
                <w:rFonts w:hint="default" w:ascii="Times New Roman" w:hAnsi="Times New Roman" w:cs="Times New Roman"/>
              </w:rPr>
              <w:t>三、主机技术参数</w:t>
            </w:r>
          </w:p>
          <w:p w14:paraId="6D08F49A">
            <w:pPr>
              <w:rPr>
                <w:rFonts w:hint="default" w:ascii="Times New Roman" w:hAnsi="Times New Roman" w:cs="Times New Roman"/>
              </w:rPr>
            </w:pPr>
            <w:r>
              <w:rPr>
                <w:rFonts w:hint="default" w:ascii="Times New Roman" w:hAnsi="Times New Roman" w:cs="Times New Roman"/>
              </w:rPr>
              <w:t>通讯协议：无线通讯方式： NB-IoT: TCP；通讯协议：标准MODBUS RS485</w:t>
            </w:r>
          </w:p>
          <w:p w14:paraId="4DD700B0">
            <w:pPr>
              <w:rPr>
                <w:rFonts w:hint="default" w:ascii="Times New Roman" w:hAnsi="Times New Roman" w:cs="Times New Roman"/>
              </w:rPr>
            </w:pPr>
            <w:r>
              <w:rPr>
                <w:rFonts w:hint="default" w:ascii="Times New Roman" w:hAnsi="Times New Roman" w:cs="Times New Roman"/>
              </w:rPr>
              <w:t>电源：采用一次性锂亚电池，默认14.4V，114AH。</w:t>
            </w:r>
          </w:p>
          <w:p w14:paraId="0928803D">
            <w:pPr>
              <w:rPr>
                <w:rFonts w:hint="default" w:ascii="Times New Roman" w:hAnsi="Times New Roman" w:cs="Times New Roman"/>
              </w:rPr>
            </w:pPr>
            <w:r>
              <w:rPr>
                <w:rFonts w:hint="default" w:ascii="Times New Roman" w:hAnsi="Times New Roman" w:cs="Times New Roman"/>
              </w:rPr>
              <w:t>支持外接电源供电，外部扩展电压：5-28V都可接入为设备供电；</w:t>
            </w:r>
          </w:p>
          <w:p w14:paraId="350758B5">
            <w:pPr>
              <w:rPr>
                <w:rFonts w:hint="default" w:ascii="Times New Roman" w:hAnsi="Times New Roman" w:cs="Times New Roman"/>
              </w:rPr>
            </w:pPr>
            <w:r>
              <w:rPr>
                <w:rFonts w:hint="default" w:ascii="Times New Roman" w:hAnsi="Times New Roman" w:cs="Times New Roman"/>
              </w:rPr>
              <w:t>硬件接口：一个USB调试接口；三个传感器接口，最多支持6路MODBUS RS485传感器；一个外部电源供电接口。</w:t>
            </w:r>
          </w:p>
          <w:p w14:paraId="656F327D">
            <w:pPr>
              <w:rPr>
                <w:rFonts w:hint="default" w:ascii="Times New Roman" w:hAnsi="Times New Roman" w:cs="Times New Roman"/>
              </w:rPr>
            </w:pPr>
            <w:r>
              <w:rPr>
                <w:rFonts w:hint="default" w:ascii="Times New Roman" w:hAnsi="Times New Roman" w:cs="Times New Roman"/>
              </w:rPr>
              <w:t>对外供电：电压：5VDC或12VDC二选一</w:t>
            </w:r>
          </w:p>
          <w:p w14:paraId="7308F9B8">
            <w:pPr>
              <w:rPr>
                <w:rFonts w:hint="default" w:ascii="Times New Roman" w:hAnsi="Times New Roman" w:cs="Times New Roman"/>
              </w:rPr>
            </w:pPr>
            <w:r>
              <w:rPr>
                <w:rFonts w:hint="default" w:ascii="Times New Roman" w:hAnsi="Times New Roman" w:cs="Times New Roman"/>
              </w:rPr>
              <w:t>防护等级：IP68</w:t>
            </w:r>
          </w:p>
          <w:p w14:paraId="785BA780">
            <w:pPr>
              <w:rPr>
                <w:rFonts w:hint="default" w:ascii="Times New Roman" w:hAnsi="Times New Roman" w:cs="Times New Roman"/>
              </w:rPr>
            </w:pPr>
            <w:r>
              <w:rPr>
                <w:rFonts w:hint="default" w:ascii="Times New Roman" w:hAnsi="Times New Roman" w:cs="Times New Roman"/>
              </w:rPr>
              <w:t>工作温度：-15 ~65 ℃（不结冰）</w:t>
            </w:r>
          </w:p>
          <w:p w14:paraId="17E19EF9">
            <w:pPr>
              <w:rPr>
                <w:rFonts w:hint="default" w:ascii="Times New Roman" w:hAnsi="Times New Roman" w:cs="Times New Roman"/>
              </w:rPr>
            </w:pPr>
            <w:r>
              <w:rPr>
                <w:rFonts w:hint="default" w:ascii="Times New Roman" w:hAnsi="Times New Roman" w:cs="Times New Roman"/>
              </w:rPr>
              <w:t>存储温度：-15 ~65 ℃</w:t>
            </w:r>
          </w:p>
          <w:p w14:paraId="1C931718">
            <w:pPr>
              <w:rPr>
                <w:rFonts w:hint="default" w:ascii="Times New Roman" w:hAnsi="Times New Roman" w:cs="Times New Roman"/>
                <w:b/>
                <w:bCs/>
                <w:sz w:val="24"/>
                <w:szCs w:val="32"/>
              </w:rPr>
            </w:pPr>
            <w:r>
              <w:rPr>
                <w:rFonts w:hint="default" w:ascii="Times New Roman" w:hAnsi="Times New Roman" w:cs="Times New Roman"/>
                <w:b/>
                <w:bCs/>
                <w:sz w:val="24"/>
                <w:szCs w:val="32"/>
              </w:rPr>
              <w:t>氯离子传感器</w:t>
            </w:r>
          </w:p>
          <w:p w14:paraId="1ACF0E9D">
            <w:pPr>
              <w:rPr>
                <w:rFonts w:hint="default" w:ascii="Times New Roman" w:hAnsi="Times New Roman" w:cs="Times New Roman"/>
              </w:rPr>
            </w:pPr>
            <w:r>
              <w:rPr>
                <w:rFonts w:hint="default" w:ascii="Times New Roman" w:hAnsi="Times New Roman" w:cs="Times New Roman"/>
              </w:rPr>
              <w:t>一、用途：用于实时在线监测、显示、传输水溶液中的氯离子（CL-）浓度。</w:t>
            </w:r>
          </w:p>
          <w:p w14:paraId="727200A5">
            <w:pPr>
              <w:rPr>
                <w:rFonts w:hint="default" w:ascii="Times New Roman" w:hAnsi="Times New Roman" w:cs="Times New Roman"/>
              </w:rPr>
            </w:pPr>
            <w:r>
              <w:rPr>
                <w:rFonts w:hint="default" w:ascii="Times New Roman" w:hAnsi="Times New Roman" w:cs="Times New Roman"/>
              </w:rPr>
              <w:t>二、传感器：</w:t>
            </w:r>
          </w:p>
          <w:p w14:paraId="7D224F0B">
            <w:pPr>
              <w:rPr>
                <w:rFonts w:hint="default" w:ascii="Times New Roman" w:hAnsi="Times New Roman" w:cs="Times New Roman"/>
              </w:rPr>
            </w:pPr>
            <w:r>
              <w:rPr>
                <w:rFonts w:hint="default" w:ascii="Times New Roman" w:hAnsi="Times New Roman" w:cs="Times New Roman"/>
              </w:rPr>
              <w:t>1、 测量原理：离子选择电极法</w:t>
            </w:r>
          </w:p>
          <w:p w14:paraId="72E18D03">
            <w:pPr>
              <w:rPr>
                <w:rFonts w:hint="default" w:ascii="Times New Roman" w:hAnsi="Times New Roman" w:cs="Times New Roman"/>
              </w:rPr>
            </w:pPr>
            <w:r>
              <w:rPr>
                <w:rFonts w:hint="default" w:ascii="Times New Roman" w:hAnsi="Times New Roman" w:cs="Times New Roman"/>
              </w:rPr>
              <w:t>2、 传感器用于检测氯离子且标配PH及温度电极。</w:t>
            </w:r>
          </w:p>
          <w:p w14:paraId="3BC3A3F5">
            <w:pPr>
              <w:rPr>
                <w:rFonts w:hint="default" w:ascii="Times New Roman" w:hAnsi="Times New Roman" w:cs="Times New Roman"/>
              </w:rPr>
            </w:pPr>
            <w:r>
              <w:rPr>
                <w:rFonts w:hint="default" w:ascii="Times New Roman" w:hAnsi="Times New Roman" w:cs="Times New Roman"/>
              </w:rPr>
              <w:t>测量范围：</w:t>
            </w:r>
          </w:p>
          <w:p w14:paraId="4E5C8DCD">
            <w:pPr>
              <w:rPr>
                <w:rFonts w:hint="default" w:ascii="Times New Roman" w:hAnsi="Times New Roman" w:cs="Times New Roman"/>
              </w:rPr>
            </w:pPr>
            <w:r>
              <w:rPr>
                <w:rFonts w:hint="default" w:ascii="Times New Roman" w:hAnsi="Times New Roman" w:cs="Times New Roman"/>
              </w:rPr>
              <w:t>氯离子（CL-）：3~3500 mg/L</w:t>
            </w:r>
          </w:p>
          <w:p w14:paraId="7A2C6BA9">
            <w:pPr>
              <w:rPr>
                <w:rFonts w:hint="default" w:ascii="Times New Roman" w:hAnsi="Times New Roman" w:cs="Times New Roman"/>
              </w:rPr>
            </w:pPr>
            <w:r>
              <w:rPr>
                <w:rFonts w:hint="default" w:ascii="Times New Roman" w:hAnsi="Times New Roman" w:cs="Times New Roman"/>
              </w:rPr>
              <w:t>PH：5-10</w:t>
            </w:r>
          </w:p>
          <w:p w14:paraId="49B34D39">
            <w:pPr>
              <w:rPr>
                <w:rFonts w:hint="default" w:ascii="Times New Roman" w:hAnsi="Times New Roman" w:cs="Times New Roman"/>
              </w:rPr>
            </w:pPr>
            <w:r>
              <w:rPr>
                <w:rFonts w:hint="default" w:ascii="Times New Roman" w:hAnsi="Times New Roman" w:cs="Times New Roman"/>
              </w:rPr>
              <w:t>温度：0-40℃</w:t>
            </w:r>
          </w:p>
          <w:p w14:paraId="6D19D53A">
            <w:pPr>
              <w:rPr>
                <w:rFonts w:hint="default" w:ascii="Times New Roman" w:hAnsi="Times New Roman" w:cs="Times New Roman"/>
              </w:rPr>
            </w:pPr>
            <w:r>
              <w:rPr>
                <w:rFonts w:hint="default" w:ascii="Times New Roman" w:hAnsi="Times New Roman" w:cs="Times New Roman"/>
              </w:rPr>
              <w:t>测量精度：</w:t>
            </w:r>
          </w:p>
          <w:p w14:paraId="7FED014B">
            <w:pPr>
              <w:rPr>
                <w:rFonts w:hint="default" w:ascii="Times New Roman" w:hAnsi="Times New Roman" w:cs="Times New Roman"/>
              </w:rPr>
            </w:pPr>
            <w:r>
              <w:rPr>
                <w:rFonts w:hint="default" w:ascii="Times New Roman" w:hAnsi="Times New Roman" w:cs="Times New Roman"/>
              </w:rPr>
              <w:t>氯离子（CL-）：测量值的±10%或± 0.2 mg/L</w:t>
            </w:r>
          </w:p>
          <w:p w14:paraId="3A708040">
            <w:pPr>
              <w:rPr>
                <w:rFonts w:hint="default" w:ascii="Times New Roman" w:hAnsi="Times New Roman" w:cs="Times New Roman"/>
              </w:rPr>
            </w:pPr>
            <w:r>
              <w:rPr>
                <w:rFonts w:hint="default" w:ascii="Times New Roman" w:hAnsi="Times New Roman" w:cs="Times New Roman"/>
              </w:rPr>
              <w:t xml:space="preserve">温度：±0.5℃ </w:t>
            </w:r>
          </w:p>
          <w:p w14:paraId="1174A5CA">
            <w:pPr>
              <w:rPr>
                <w:rFonts w:hint="default" w:ascii="Times New Roman" w:hAnsi="Times New Roman" w:cs="Times New Roman"/>
              </w:rPr>
            </w:pPr>
            <w:r>
              <w:rPr>
                <w:rFonts w:hint="default" w:ascii="Times New Roman" w:hAnsi="Times New Roman" w:cs="Times New Roman"/>
              </w:rPr>
              <w:t>pH：±0.1 pH</w:t>
            </w:r>
          </w:p>
          <w:p w14:paraId="51AC2EA1">
            <w:pPr>
              <w:rPr>
                <w:rFonts w:hint="default" w:ascii="Times New Roman" w:hAnsi="Times New Roman" w:cs="Times New Roman"/>
              </w:rPr>
            </w:pPr>
            <w:r>
              <w:rPr>
                <w:rFonts w:hint="default" w:ascii="Times New Roman" w:hAnsi="Times New Roman" w:cs="Times New Roman"/>
              </w:rPr>
              <w:t>3、 重复性：±5%或0.2mg/l取大者</w:t>
            </w:r>
          </w:p>
          <w:p w14:paraId="7A9F931D">
            <w:pPr>
              <w:rPr>
                <w:rFonts w:hint="default" w:ascii="Times New Roman" w:hAnsi="Times New Roman" w:cs="Times New Roman"/>
              </w:rPr>
            </w:pPr>
            <w:r>
              <w:rPr>
                <w:rFonts w:hint="default" w:ascii="Times New Roman" w:hAnsi="Times New Roman" w:cs="Times New Roman"/>
              </w:rPr>
              <w:t>4、 防水等级：IP68/NEMA6P</w:t>
            </w:r>
          </w:p>
          <w:p w14:paraId="476D412C">
            <w:pPr>
              <w:rPr>
                <w:rFonts w:hint="default" w:ascii="Times New Roman" w:hAnsi="Times New Roman" w:cs="Times New Roman"/>
              </w:rPr>
            </w:pPr>
            <w:r>
              <w:rPr>
                <w:rFonts w:hint="default" w:ascii="Times New Roman" w:hAnsi="Times New Roman" w:cs="Times New Roman"/>
              </w:rPr>
              <w:t>5、 存储温度：0到50℃（非冰冻）</w:t>
            </w:r>
          </w:p>
          <w:p w14:paraId="38192815">
            <w:pPr>
              <w:rPr>
                <w:rFonts w:hint="default" w:ascii="Times New Roman" w:hAnsi="Times New Roman" w:cs="Times New Roman"/>
              </w:rPr>
            </w:pPr>
            <w:r>
              <w:rPr>
                <w:rFonts w:hint="default" w:ascii="Times New Roman" w:hAnsi="Times New Roman" w:cs="Times New Roman"/>
              </w:rPr>
              <w:t>6、 测量环境温度：0到40℃（非冰冻）</w:t>
            </w:r>
          </w:p>
          <w:p w14:paraId="16BC812E">
            <w:pPr>
              <w:rPr>
                <w:rFonts w:hint="default" w:ascii="Times New Roman" w:hAnsi="Times New Roman" w:cs="Times New Roman"/>
              </w:rPr>
            </w:pPr>
            <w:r>
              <w:rPr>
                <w:rFonts w:hint="default" w:ascii="Times New Roman" w:hAnsi="Times New Roman" w:cs="Times New Roman"/>
              </w:rPr>
              <w:t>7、 传感器电源正负极反接保护</w:t>
            </w:r>
          </w:p>
          <w:p w14:paraId="3356FC8B">
            <w:pPr>
              <w:rPr>
                <w:rFonts w:hint="default" w:ascii="Times New Roman" w:hAnsi="Times New Roman" w:cs="Times New Roman"/>
              </w:rPr>
            </w:pPr>
            <w:r>
              <w:rPr>
                <w:rFonts w:hint="default" w:ascii="Times New Roman" w:hAnsi="Times New Roman" w:cs="Times New Roman"/>
              </w:rPr>
              <w:t>8、 传感器RS485 A/B端错接电源保护</w:t>
            </w:r>
          </w:p>
          <w:p w14:paraId="5D4BA7F0">
            <w:pPr>
              <w:rPr>
                <w:rFonts w:hint="default" w:ascii="Times New Roman" w:hAnsi="Times New Roman" w:cs="Times New Roman"/>
              </w:rPr>
            </w:pPr>
            <w:r>
              <w:rPr>
                <w:rFonts w:hint="default" w:ascii="Times New Roman" w:hAnsi="Times New Roman" w:cs="Times New Roman"/>
              </w:rPr>
              <w:t>9、 数字化传感器，抗干扰能力强，传输距离远</w:t>
            </w:r>
          </w:p>
          <w:p w14:paraId="0BCAC056">
            <w:pPr>
              <w:keepNext w:val="0"/>
              <w:keepLines w:val="0"/>
              <w:widowControl/>
              <w:numPr>
                <w:ilvl w:val="0"/>
                <w:numId w:val="0"/>
              </w:numPr>
              <w:suppressLineNumbers w:val="0"/>
              <w:jc w:val="both"/>
              <w:textAlignment w:val="center"/>
              <w:rPr>
                <w:rFonts w:hint="default" w:ascii="Times New Roman" w:hAnsi="Times New Roman" w:eastAsia="宋体" w:cs="Times New Roman"/>
                <w:i w:val="0"/>
                <w:iCs w:val="0"/>
                <w:color w:val="000000"/>
                <w:kern w:val="0"/>
                <w:sz w:val="21"/>
                <w:szCs w:val="21"/>
                <w:u w:val="none"/>
                <w:lang w:val="en-US" w:eastAsia="zh-CN" w:bidi="ar"/>
              </w:rPr>
            </w:pPr>
          </w:p>
        </w:tc>
      </w:tr>
    </w:tbl>
    <w:p w14:paraId="54BC3E23">
      <w:pPr>
        <w:keepNext w:val="0"/>
        <w:keepLines w:val="0"/>
        <w:pageBreakBefore w:val="0"/>
        <w:widowControl/>
        <w:kinsoku w:val="0"/>
        <w:wordWrap/>
        <w:overflowPunct/>
        <w:topLinePunct w:val="0"/>
        <w:autoSpaceDE w:val="0"/>
        <w:autoSpaceDN w:val="0"/>
        <w:bidi w:val="0"/>
        <w:adjustRightInd w:val="0"/>
        <w:snapToGrid w:val="0"/>
        <w:spacing w:line="490" w:lineRule="exact"/>
        <w:ind w:right="0" w:firstLine="540" w:firstLineChars="200"/>
        <w:textAlignment w:val="baseline"/>
        <w:outlineLvl w:val="3"/>
        <w:rPr>
          <w:rFonts w:hint="default" w:ascii="宋体" w:hAnsi="宋体" w:eastAsia="宋体" w:cs="宋体"/>
          <w:b/>
          <w:bCs/>
          <w:color w:val="auto"/>
          <w:spacing w:val="-5"/>
          <w:sz w:val="28"/>
          <w:szCs w:val="28"/>
          <w:highlight w:val="none"/>
        </w:rPr>
      </w:pPr>
      <w:r>
        <w:rPr>
          <w:rFonts w:hint="eastAsia" w:ascii="宋体" w:hAnsi="宋体" w:cs="宋体"/>
          <w:b/>
          <w:bCs/>
          <w:color w:val="auto"/>
          <w:spacing w:val="-5"/>
          <w:sz w:val="28"/>
          <w:szCs w:val="28"/>
          <w:highlight w:val="none"/>
          <w:lang w:val="en-US" w:eastAsia="zh-CN"/>
        </w:rPr>
        <w:t>二</w:t>
      </w:r>
      <w:r>
        <w:rPr>
          <w:rFonts w:hint="default" w:ascii="宋体" w:hAnsi="宋体" w:eastAsia="宋体" w:cs="宋体"/>
          <w:b/>
          <w:bCs/>
          <w:color w:val="auto"/>
          <w:spacing w:val="-5"/>
          <w:sz w:val="28"/>
          <w:szCs w:val="28"/>
          <w:highlight w:val="none"/>
          <w:lang w:val="en-US" w:eastAsia="zh-CN"/>
        </w:rPr>
        <w:t>、商务部分要求：</w:t>
      </w:r>
    </w:p>
    <w:p w14:paraId="1FB54FA3">
      <w:pPr>
        <w:keepNext w:val="0"/>
        <w:keepLines w:val="0"/>
        <w:pageBreakBefore w:val="0"/>
        <w:widowControl/>
        <w:kinsoku w:val="0"/>
        <w:wordWrap/>
        <w:overflowPunct/>
        <w:topLinePunct w:val="0"/>
        <w:autoSpaceDE w:val="0"/>
        <w:autoSpaceDN w:val="0"/>
        <w:bidi w:val="0"/>
        <w:adjustRightInd w:val="0"/>
        <w:snapToGrid w:val="0"/>
        <w:spacing w:line="490" w:lineRule="exact"/>
        <w:ind w:left="0" w:right="0" w:firstLine="560" w:firstLineChars="200"/>
        <w:jc w:val="both"/>
        <w:textAlignment w:val="baseline"/>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1.供货周期要求：合同签订后20工作日内供货到现场，接采购人通知后30日内完成安装调试。若供应商未按照合同约定时间交货的，且未及时以书面形式向采购人提交延误原因，又无正当理由的，每推迟一天罚3000元，推迟7天及以上的则采购单位有权罚没所有履约保证金。</w:t>
      </w:r>
    </w:p>
    <w:p w14:paraId="005FF209">
      <w:pPr>
        <w:keepNext w:val="0"/>
        <w:keepLines w:val="0"/>
        <w:pageBreakBefore w:val="0"/>
        <w:widowControl/>
        <w:kinsoku w:val="0"/>
        <w:wordWrap/>
        <w:overflowPunct/>
        <w:topLinePunct w:val="0"/>
        <w:autoSpaceDE w:val="0"/>
        <w:autoSpaceDN w:val="0"/>
        <w:bidi w:val="0"/>
        <w:adjustRightInd w:val="0"/>
        <w:snapToGrid w:val="0"/>
        <w:spacing w:line="490" w:lineRule="exact"/>
        <w:ind w:left="0" w:right="0" w:firstLine="560" w:firstLineChars="200"/>
        <w:jc w:val="both"/>
        <w:textAlignment w:val="baseline"/>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2.交货、安装地点：启东市吕四污水处理有限公司。</w:t>
      </w:r>
    </w:p>
    <w:p w14:paraId="17B6CD62">
      <w:pPr>
        <w:keepNext w:val="0"/>
        <w:keepLines w:val="0"/>
        <w:pageBreakBefore w:val="0"/>
        <w:widowControl/>
        <w:kinsoku w:val="0"/>
        <w:wordWrap/>
        <w:overflowPunct/>
        <w:topLinePunct w:val="0"/>
        <w:autoSpaceDE w:val="0"/>
        <w:autoSpaceDN w:val="0"/>
        <w:bidi w:val="0"/>
        <w:adjustRightInd w:val="0"/>
        <w:snapToGrid w:val="0"/>
        <w:spacing w:line="490" w:lineRule="exact"/>
        <w:ind w:left="0" w:right="0" w:firstLine="560" w:firstLineChars="200"/>
        <w:jc w:val="both"/>
        <w:textAlignment w:val="baseline"/>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3.质量要求：供应商须提供符合采购需求、符合国家质量检测标准的全新未使用过的原装合格产品，产品质量符合询价文件要求、行业及国家标准（供货时提供相关证明材料、有效产品合格证）。</w:t>
      </w:r>
    </w:p>
    <w:p w14:paraId="482D9BDA">
      <w:pPr>
        <w:keepNext w:val="0"/>
        <w:keepLines w:val="0"/>
        <w:pageBreakBefore w:val="0"/>
        <w:widowControl/>
        <w:kinsoku w:val="0"/>
        <w:wordWrap/>
        <w:overflowPunct/>
        <w:topLinePunct w:val="0"/>
        <w:autoSpaceDE w:val="0"/>
        <w:autoSpaceDN w:val="0"/>
        <w:bidi w:val="0"/>
        <w:adjustRightInd w:val="0"/>
        <w:snapToGrid w:val="0"/>
        <w:spacing w:line="490" w:lineRule="exact"/>
        <w:ind w:left="0" w:right="0" w:firstLine="560" w:firstLineChars="200"/>
        <w:jc w:val="both"/>
        <w:textAlignment w:val="baseline"/>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4.质保、售后服务要求：本项目除探头质保一年，其余设备2年内全免费质保（配件+人工）及售后服务。质保期内成交供应商应免费维修，质保期外的维修收费按国家和供应商的相关规定办理。所有设备质保时间为自验收合格之日起计。（如果货物原厂承诺的保修期高于国家规定的保修期，则按原厂承诺的执行）。</w:t>
      </w:r>
    </w:p>
    <w:p w14:paraId="51D76D7F">
      <w:pPr>
        <w:keepNext w:val="0"/>
        <w:keepLines w:val="0"/>
        <w:pageBreakBefore w:val="0"/>
        <w:widowControl/>
        <w:kinsoku w:val="0"/>
        <w:wordWrap/>
        <w:overflowPunct/>
        <w:topLinePunct w:val="0"/>
        <w:autoSpaceDE w:val="0"/>
        <w:autoSpaceDN w:val="0"/>
        <w:bidi w:val="0"/>
        <w:adjustRightInd w:val="0"/>
        <w:snapToGrid w:val="0"/>
        <w:spacing w:line="490" w:lineRule="exact"/>
        <w:ind w:left="0" w:right="0" w:firstLine="560" w:firstLineChars="200"/>
        <w:jc w:val="both"/>
        <w:textAlignment w:val="baseline"/>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质保期内，成交供应商应免费维修。货物在质保期内出现故障时，成交供应商在接到用户单位电话通知后，须8小时之内上门服务并在4小时内修复。如需更换货物或送修，必须在12小时内提供备用货物，并在5个工作日内负责维修完毕并送至用户单位处。供应商超时或未在规定的时间内及时处理故障，每次罚2000元扣款。</w:t>
      </w:r>
    </w:p>
    <w:p w14:paraId="743A2F4C">
      <w:pPr>
        <w:keepNext w:val="0"/>
        <w:keepLines w:val="0"/>
        <w:pageBreakBefore w:val="0"/>
        <w:widowControl/>
        <w:kinsoku w:val="0"/>
        <w:wordWrap/>
        <w:overflowPunct/>
        <w:topLinePunct w:val="0"/>
        <w:autoSpaceDE w:val="0"/>
        <w:autoSpaceDN w:val="0"/>
        <w:bidi w:val="0"/>
        <w:adjustRightInd w:val="0"/>
        <w:snapToGrid w:val="0"/>
        <w:spacing w:line="490" w:lineRule="exact"/>
        <w:ind w:left="0" w:right="0" w:firstLine="560" w:firstLineChars="200"/>
        <w:jc w:val="both"/>
        <w:textAlignment w:val="baseline"/>
        <w:rPr>
          <w:rFonts w:hint="eastAsia" w:ascii="宋体" w:hAnsi="宋体" w:cs="宋体"/>
          <w:b/>
          <w:bCs/>
          <w:color w:val="auto"/>
          <w:spacing w:val="-5"/>
          <w:sz w:val="28"/>
          <w:szCs w:val="28"/>
          <w:highlight w:val="none"/>
          <w:lang w:val="en-US" w:eastAsia="zh-CN"/>
        </w:rPr>
      </w:pPr>
      <w:r>
        <w:rPr>
          <w:rFonts w:hint="default" w:ascii="宋体" w:hAnsi="宋体" w:eastAsia="宋体" w:cs="宋体"/>
          <w:color w:val="auto"/>
          <w:sz w:val="28"/>
          <w:szCs w:val="28"/>
          <w:highlight w:val="none"/>
          <w:lang w:val="en-US" w:eastAsia="zh-CN"/>
        </w:rPr>
        <w:t>在质保期内，同一商品、同一质量问题连续两次维修仍无法正常使用，供应商无条件给予全套更新或退货。</w:t>
      </w:r>
    </w:p>
    <w:p w14:paraId="345555A2">
      <w:pPr>
        <w:keepNext w:val="0"/>
        <w:keepLines w:val="0"/>
        <w:pageBreakBefore w:val="0"/>
        <w:widowControl/>
        <w:kinsoku w:val="0"/>
        <w:wordWrap/>
        <w:overflowPunct/>
        <w:topLinePunct w:val="0"/>
        <w:autoSpaceDE w:val="0"/>
        <w:autoSpaceDN w:val="0"/>
        <w:bidi w:val="0"/>
        <w:adjustRightInd w:val="0"/>
        <w:snapToGrid w:val="0"/>
        <w:spacing w:line="490" w:lineRule="exact"/>
        <w:ind w:left="0" w:right="0" w:firstLine="540" w:firstLineChars="200"/>
        <w:textAlignment w:val="baseline"/>
        <w:outlineLvl w:val="3"/>
        <w:rPr>
          <w:rFonts w:ascii="宋体" w:hAnsi="宋体" w:eastAsia="宋体" w:cs="宋体"/>
          <w:color w:val="auto"/>
          <w:sz w:val="28"/>
          <w:szCs w:val="28"/>
          <w:highlight w:val="none"/>
        </w:rPr>
      </w:pPr>
      <w:r>
        <w:rPr>
          <w:rFonts w:hint="eastAsia" w:ascii="宋体" w:hAnsi="宋体" w:cs="宋体"/>
          <w:b/>
          <w:bCs/>
          <w:color w:val="auto"/>
          <w:spacing w:val="-5"/>
          <w:sz w:val="28"/>
          <w:szCs w:val="28"/>
          <w:highlight w:val="none"/>
          <w:lang w:val="en-US" w:eastAsia="zh-CN"/>
        </w:rPr>
        <w:t>三</w:t>
      </w:r>
      <w:r>
        <w:rPr>
          <w:rFonts w:ascii="宋体" w:hAnsi="宋体" w:eastAsia="宋体" w:cs="宋体"/>
          <w:b/>
          <w:bCs/>
          <w:color w:val="auto"/>
          <w:spacing w:val="-5"/>
          <w:sz w:val="28"/>
          <w:szCs w:val="28"/>
          <w:highlight w:val="none"/>
        </w:rPr>
        <w:t>、采购标的的其他技术、服务等要求</w:t>
      </w:r>
    </w:p>
    <w:p w14:paraId="521702F6">
      <w:pPr>
        <w:keepNext w:val="0"/>
        <w:keepLines w:val="0"/>
        <w:pageBreakBefore w:val="0"/>
        <w:widowControl/>
        <w:kinsoku w:val="0"/>
        <w:wordWrap/>
        <w:overflowPunct/>
        <w:topLinePunct w:val="0"/>
        <w:autoSpaceDE w:val="0"/>
        <w:autoSpaceDN w:val="0"/>
        <w:bidi w:val="0"/>
        <w:adjustRightInd w:val="0"/>
        <w:snapToGrid w:val="0"/>
        <w:spacing w:line="490" w:lineRule="exact"/>
        <w:ind w:left="0" w:right="0" w:firstLine="560" w:firstLineChars="200"/>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次采购需切实履行绿色采购，参照《江苏省财政厅关于加强政府绿色采购有关事项的通知》（苏财购〔2023〕65号），严格落实节能环保产品采购政策，严格执行绿色采购需求标准，推广使用低挥发性有机化合物产品，确保绿色采购落实到位。</w:t>
      </w:r>
    </w:p>
    <w:p w14:paraId="469DE5A1">
      <w:pPr>
        <w:keepNext w:val="0"/>
        <w:keepLines w:val="0"/>
        <w:pageBreakBefore w:val="0"/>
        <w:widowControl/>
        <w:kinsoku w:val="0"/>
        <w:wordWrap/>
        <w:overflowPunct/>
        <w:topLinePunct w:val="0"/>
        <w:autoSpaceDE w:val="0"/>
        <w:autoSpaceDN w:val="0"/>
        <w:bidi w:val="0"/>
        <w:adjustRightInd w:val="0"/>
        <w:snapToGrid w:val="0"/>
        <w:spacing w:line="490" w:lineRule="exact"/>
        <w:ind w:left="0" w:right="0" w:firstLine="560" w:firstLineChars="200"/>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品目清单见《关于印发环境标志产品政府采购品目清单的通知》（财库〔2019〕18号）、《关于印发节能产品政府采购品目清单的通知》（财库〔2019〕19号）。</w:t>
      </w:r>
    </w:p>
    <w:p w14:paraId="1E50C63F">
      <w:pPr>
        <w:keepNext w:val="0"/>
        <w:keepLines w:val="0"/>
        <w:pageBreakBefore w:val="0"/>
        <w:widowControl/>
        <w:kinsoku w:val="0"/>
        <w:wordWrap/>
        <w:overflowPunct/>
        <w:topLinePunct w:val="0"/>
        <w:autoSpaceDE w:val="0"/>
        <w:autoSpaceDN w:val="0"/>
        <w:bidi w:val="0"/>
        <w:adjustRightInd w:val="0"/>
        <w:snapToGrid w:val="0"/>
        <w:spacing w:line="490" w:lineRule="exact"/>
        <w:ind w:left="0" w:right="0" w:firstLine="560" w:firstLineChars="200"/>
        <w:jc w:val="both"/>
        <w:textAlignment w:val="baseline"/>
        <w:rPr>
          <w:rFonts w:hint="eastAsia" w:ascii="宋体" w:hAnsi="宋体" w:cs="宋体"/>
          <w:b/>
          <w:bCs/>
          <w:sz w:val="28"/>
          <w:szCs w:val="28"/>
        </w:rPr>
      </w:pPr>
      <w:r>
        <w:rPr>
          <w:rFonts w:hint="eastAsia" w:ascii="宋体" w:hAnsi="宋体" w:eastAsia="宋体" w:cs="宋体"/>
          <w:color w:val="auto"/>
          <w:sz w:val="28"/>
          <w:szCs w:val="28"/>
          <w:highlight w:val="none"/>
          <w:lang w:val="en-US" w:eastAsia="zh-CN"/>
        </w:rPr>
        <w:t>需求标准见《商品包装政府采购需求标准（试行）》《快递包装政府采购需求标准（试行）》（财办库〔2020〕123号）、《绿色数据中心政府采购需求标准（试行）》（财库〔2023〕7号）。</w:t>
      </w:r>
    </w:p>
    <w:p w14:paraId="4FDEADB6">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90" w:lineRule="exact"/>
        <w:ind w:left="0" w:right="0" w:firstLine="560" w:firstLineChars="200"/>
        <w:jc w:val="both"/>
        <w:rPr>
          <w:rFonts w:ascii="宋体" w:hAnsi="宋体" w:cs="宋体"/>
          <w:b/>
          <w:bCs/>
          <w:sz w:val="28"/>
          <w:szCs w:val="28"/>
          <w:lang w:val="zh-CN"/>
        </w:rPr>
      </w:pPr>
      <w:r>
        <w:rPr>
          <w:rFonts w:hint="eastAsia" w:ascii="宋体" w:hAnsi="宋体" w:cs="宋体"/>
          <w:b/>
          <w:bCs/>
          <w:sz w:val="28"/>
          <w:szCs w:val="28"/>
          <w:lang w:val="en-US" w:eastAsia="zh-CN"/>
        </w:rPr>
        <w:t>四</w:t>
      </w:r>
      <w:r>
        <w:rPr>
          <w:rFonts w:hint="eastAsia" w:ascii="宋体" w:hAnsi="宋体" w:cs="宋体"/>
          <w:b/>
          <w:bCs/>
          <w:sz w:val="28"/>
          <w:szCs w:val="28"/>
          <w:lang w:val="zh-CN"/>
        </w:rPr>
        <w:t>、付款方式：</w:t>
      </w:r>
      <w:r>
        <w:rPr>
          <w:rFonts w:hint="default" w:ascii="宋体" w:hAnsi="宋体" w:eastAsia="宋体" w:cs="宋体"/>
          <w:color w:val="auto"/>
          <w:sz w:val="28"/>
          <w:szCs w:val="28"/>
          <w:highlight w:val="none"/>
          <w:lang w:val="en-US" w:eastAsia="zh-CN"/>
        </w:rPr>
        <w:t>货物安装调试完毕验收合格并在无故障运行一个月后付合同价的90%，余款10%于</w:t>
      </w:r>
      <w:r>
        <w:rPr>
          <w:rFonts w:hint="eastAsia" w:ascii="宋体" w:hAnsi="宋体" w:cs="宋体"/>
          <w:color w:val="auto"/>
          <w:sz w:val="28"/>
          <w:szCs w:val="28"/>
          <w:highlight w:val="none"/>
          <w:lang w:val="en-US" w:eastAsia="zh-CN"/>
        </w:rPr>
        <w:t>质保期满2年后</w:t>
      </w:r>
      <w:r>
        <w:rPr>
          <w:rFonts w:hint="default" w:ascii="宋体" w:hAnsi="宋体" w:eastAsia="宋体" w:cs="宋体"/>
          <w:color w:val="auto"/>
          <w:sz w:val="28"/>
          <w:szCs w:val="28"/>
          <w:highlight w:val="none"/>
          <w:lang w:val="en-US" w:eastAsia="zh-CN"/>
        </w:rPr>
        <w:t>（从验收合格之日算起）无质量问题后付清。</w:t>
      </w:r>
    </w:p>
    <w:p w14:paraId="2ECDD9A1">
      <w:pPr>
        <w:keepNext w:val="0"/>
        <w:keepLines w:val="0"/>
        <w:pageBreakBefore w:val="0"/>
        <w:numPr>
          <w:ilvl w:val="0"/>
          <w:numId w:val="0"/>
        </w:numPr>
        <w:wordWrap/>
        <w:overflowPunct/>
        <w:topLinePunct w:val="0"/>
        <w:bidi w:val="0"/>
        <w:adjustRightInd w:val="0"/>
        <w:snapToGrid w:val="0"/>
        <w:spacing w:line="490" w:lineRule="exact"/>
        <w:ind w:firstLine="560" w:firstLineChars="200"/>
        <w:rPr>
          <w:rFonts w:ascii="宋体" w:hAnsi="宋体" w:cs="宋体"/>
          <w:b/>
          <w:bCs/>
          <w:sz w:val="28"/>
          <w:szCs w:val="28"/>
          <w:lang w:val="zh-CN"/>
        </w:rPr>
      </w:pPr>
      <w:r>
        <w:rPr>
          <w:rFonts w:hint="eastAsia" w:ascii="宋体" w:hAnsi="宋体" w:cs="宋体"/>
          <w:b/>
          <w:bCs/>
          <w:sz w:val="28"/>
          <w:szCs w:val="28"/>
          <w:lang w:val="en-US" w:eastAsia="zh-CN"/>
        </w:rPr>
        <w:t>五、</w:t>
      </w:r>
      <w:r>
        <w:rPr>
          <w:rFonts w:hint="eastAsia" w:ascii="宋体" w:hAnsi="宋体" w:cs="宋体"/>
          <w:b/>
          <w:bCs/>
          <w:sz w:val="28"/>
          <w:szCs w:val="28"/>
          <w:lang w:val="zh-CN"/>
        </w:rPr>
        <w:t>履约保证金：</w:t>
      </w:r>
    </w:p>
    <w:p w14:paraId="4D24DC67">
      <w:pPr>
        <w:keepNext w:val="0"/>
        <w:keepLines w:val="0"/>
        <w:pageBreakBefore w:val="0"/>
        <w:widowControl/>
        <w:kinsoku w:val="0"/>
        <w:wordWrap/>
        <w:overflowPunct/>
        <w:topLinePunct w:val="0"/>
        <w:autoSpaceDE w:val="0"/>
        <w:autoSpaceDN w:val="0"/>
        <w:bidi w:val="0"/>
        <w:adjustRightInd w:val="0"/>
        <w:snapToGrid w:val="0"/>
        <w:spacing w:line="490" w:lineRule="exact"/>
        <w:ind w:left="0" w:right="0" w:firstLine="560" w:firstLineChars="200"/>
        <w:jc w:val="both"/>
        <w:textAlignment w:val="baseline"/>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1）本项目中标后的履约保证金为项目成交价的10%，中标供应商的履约保证金须在成交通知书发出之日起至合同签订前汇入采购单位账户（应当以数字人民币、银行转账、网银、电汇、支票、本票、汇票、保函等形式提交），中标供应商凭中标通知书与采购单位签订合同。超过中标通知书发出之日起30日未缴纳履约保证金，则视为自动放弃成交资格，采购人可以取消其中标资格。</w:t>
      </w:r>
    </w:p>
    <w:p w14:paraId="0ADB34F2">
      <w:pPr>
        <w:keepNext w:val="0"/>
        <w:keepLines w:val="0"/>
        <w:pageBreakBefore w:val="0"/>
        <w:widowControl/>
        <w:kinsoku w:val="0"/>
        <w:wordWrap/>
        <w:overflowPunct/>
        <w:topLinePunct w:val="0"/>
        <w:autoSpaceDE w:val="0"/>
        <w:autoSpaceDN w:val="0"/>
        <w:bidi w:val="0"/>
        <w:adjustRightInd w:val="0"/>
        <w:snapToGrid w:val="0"/>
        <w:spacing w:line="490" w:lineRule="exact"/>
        <w:ind w:left="0" w:right="0" w:firstLine="560" w:firstLineChars="200"/>
        <w:jc w:val="both"/>
        <w:textAlignment w:val="baseline"/>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（2）中标供应商全部履约合同义务，经采购单位验收合格无质量、进度等问题的，采购人在验收合格后一次性退还履约保证金。</w:t>
      </w:r>
    </w:p>
    <w:p w14:paraId="54B76509">
      <w:pPr>
        <w:keepNext w:val="0"/>
        <w:keepLines w:val="0"/>
        <w:pageBreakBefore w:val="0"/>
        <w:widowControl/>
        <w:kinsoku w:val="0"/>
        <w:wordWrap/>
        <w:overflowPunct/>
        <w:topLinePunct w:val="0"/>
        <w:autoSpaceDE w:val="0"/>
        <w:autoSpaceDN w:val="0"/>
        <w:bidi w:val="0"/>
        <w:adjustRightInd w:val="0"/>
        <w:snapToGrid w:val="0"/>
        <w:spacing w:line="490" w:lineRule="exact"/>
        <w:ind w:left="0" w:right="0" w:firstLine="560" w:firstLineChars="200"/>
        <w:jc w:val="both"/>
        <w:textAlignment w:val="baseline"/>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（3）发生以下情况的，履约保证金不予退还或部分退还：</w:t>
      </w:r>
    </w:p>
    <w:p w14:paraId="509ECE00">
      <w:pPr>
        <w:keepNext w:val="0"/>
        <w:keepLines w:val="0"/>
        <w:pageBreakBefore w:val="0"/>
        <w:widowControl/>
        <w:kinsoku w:val="0"/>
        <w:wordWrap/>
        <w:overflowPunct/>
        <w:topLinePunct w:val="0"/>
        <w:autoSpaceDE w:val="0"/>
        <w:autoSpaceDN w:val="0"/>
        <w:bidi w:val="0"/>
        <w:adjustRightInd w:val="0"/>
        <w:snapToGrid w:val="0"/>
        <w:spacing w:line="490" w:lineRule="exact"/>
        <w:ind w:left="0" w:right="0" w:firstLine="560" w:firstLineChars="200"/>
        <w:jc w:val="both"/>
        <w:textAlignment w:val="baseline"/>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a.签订合同后，中标供应商不履行合同义务的，采购单位有权全额扣除履约保证金，全额不予退还，同时采购单位亦有权终止合同，中标供应商还须承担相应的法律赔偿责任。</w:t>
      </w:r>
    </w:p>
    <w:p w14:paraId="4BE380A7">
      <w:pPr>
        <w:keepNext w:val="0"/>
        <w:keepLines w:val="0"/>
        <w:pageBreakBefore w:val="0"/>
        <w:widowControl/>
        <w:kinsoku w:val="0"/>
        <w:wordWrap/>
        <w:overflowPunct/>
        <w:topLinePunct w:val="0"/>
        <w:autoSpaceDE w:val="0"/>
        <w:autoSpaceDN w:val="0"/>
        <w:bidi w:val="0"/>
        <w:adjustRightInd w:val="0"/>
        <w:snapToGrid w:val="0"/>
        <w:spacing w:line="490" w:lineRule="exact"/>
        <w:ind w:left="0" w:right="0" w:firstLine="560" w:firstLineChars="200"/>
        <w:jc w:val="both"/>
        <w:textAlignment w:val="baseline"/>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b.中标供应商在履约过程中发生违约行为，给采购单位造成损失的，采购单位有权在中标供应商缴纳的履约保证金中予以扣款，以弥补采购单位经济损失，不足的部分中标供应商另外补齐。</w:t>
      </w:r>
    </w:p>
    <w:p w14:paraId="7DE53FB1">
      <w:pPr>
        <w:keepNext w:val="0"/>
        <w:keepLines w:val="0"/>
        <w:pageBreakBefore w:val="0"/>
        <w:wordWrap/>
        <w:overflowPunct/>
        <w:topLinePunct w:val="0"/>
        <w:bidi w:val="0"/>
        <w:adjustRightInd w:val="0"/>
        <w:snapToGrid w:val="0"/>
        <w:spacing w:line="490" w:lineRule="exact"/>
        <w:ind w:firstLine="560" w:firstLineChars="200"/>
        <w:rPr>
          <w:rFonts w:hint="eastAsia" w:ascii="宋体" w:hAnsi="宋体" w:cs="宋体"/>
          <w:b/>
          <w:bCs/>
          <w:sz w:val="28"/>
          <w:szCs w:val="28"/>
          <w:lang w:val="en-US" w:eastAsia="zh-CN"/>
        </w:rPr>
      </w:pPr>
      <w:r>
        <w:rPr>
          <w:rFonts w:hint="eastAsia" w:ascii="宋体" w:hAnsi="宋体" w:cs="宋体"/>
          <w:b/>
          <w:bCs/>
          <w:sz w:val="28"/>
          <w:szCs w:val="28"/>
          <w:lang w:val="en-US" w:eastAsia="zh-CN"/>
        </w:rPr>
        <w:t>六、报价要求：</w:t>
      </w:r>
    </w:p>
    <w:p w14:paraId="093AC4E6">
      <w:pPr>
        <w:keepNext w:val="0"/>
        <w:keepLines w:val="0"/>
        <w:pageBreakBefore w:val="0"/>
        <w:widowControl/>
        <w:kinsoku w:val="0"/>
        <w:wordWrap/>
        <w:overflowPunct/>
        <w:topLinePunct w:val="0"/>
        <w:autoSpaceDE w:val="0"/>
        <w:autoSpaceDN w:val="0"/>
        <w:bidi w:val="0"/>
        <w:adjustRightInd w:val="0"/>
        <w:snapToGrid w:val="0"/>
        <w:spacing w:line="490" w:lineRule="exact"/>
        <w:ind w:left="0" w:right="0" w:firstLine="560" w:firstLineChars="200"/>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本项目采用固定单价报价，投标报价包括（但不限于）：为完成合同范围内全部货物采购、运输、安装、调试等费用，以及为完成上述内容所必须的临时项目、人工、材料设备、机械、施工、材料检测、配合作业、售后服务、保险、规费、利润、税金、政策性文件规定及合同包含的所有风险、责任等一切费用。在安装、验收过程中，如发现有漏项、缺件，中标人应无条件、无偿补齐，所发生的一切费用，视为已包含在供应商的投标报价之中，且并不因此而影响交付采购人使用的时间。报价时一次包定,不再另行追加。</w:t>
      </w:r>
    </w:p>
    <w:p w14:paraId="0FC87D21">
      <w:pPr>
        <w:keepNext w:val="0"/>
        <w:keepLines w:val="0"/>
        <w:pageBreakBefore w:val="0"/>
        <w:wordWrap/>
        <w:overflowPunct/>
        <w:topLinePunct w:val="0"/>
        <w:bidi w:val="0"/>
        <w:adjustRightInd w:val="0"/>
        <w:snapToGrid w:val="0"/>
        <w:spacing w:line="490" w:lineRule="exact"/>
        <w:ind w:firstLine="560"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七、其他要求：</w:t>
      </w:r>
    </w:p>
    <w:p w14:paraId="5DE46CFF">
      <w:pPr>
        <w:keepNext w:val="0"/>
        <w:keepLines w:val="0"/>
        <w:pageBreakBefore w:val="0"/>
        <w:widowControl/>
        <w:kinsoku w:val="0"/>
        <w:wordWrap/>
        <w:overflowPunct/>
        <w:topLinePunct w:val="0"/>
        <w:autoSpaceDE w:val="0"/>
        <w:autoSpaceDN w:val="0"/>
        <w:bidi w:val="0"/>
        <w:adjustRightInd w:val="0"/>
        <w:snapToGrid w:val="0"/>
        <w:spacing w:line="490" w:lineRule="exact"/>
        <w:ind w:left="0" w:right="0" w:firstLine="560" w:firstLineChars="200"/>
        <w:jc w:val="both"/>
        <w:textAlignment w:val="baseline"/>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合同履行期间，因乙方原因违约，被甲方终止合同的，均被列入启东城投集团有限公司及下属相关子公司招标黑名单，两年内拒绝在启东城投集团有限公司及其子公司内投标。</w:t>
      </w:r>
    </w:p>
    <w:p w14:paraId="228FF831">
      <w:pPr>
        <w:keepNext w:val="0"/>
        <w:keepLines w:val="0"/>
        <w:pageBreakBefore w:val="0"/>
        <w:numPr>
          <w:ilvl w:val="0"/>
          <w:numId w:val="0"/>
        </w:numPr>
        <w:wordWrap/>
        <w:overflowPunct/>
        <w:topLinePunct w:val="0"/>
        <w:bidi w:val="0"/>
        <w:adjustRightInd w:val="0"/>
        <w:snapToGrid w:val="0"/>
        <w:spacing w:line="490" w:lineRule="exact"/>
        <w:rPr>
          <w:rFonts w:hint="eastAsia" w:ascii="宋体" w:hAnsi="宋体" w:cs="宋体"/>
          <w:b/>
          <w:bCs/>
          <w:sz w:val="28"/>
          <w:szCs w:val="28"/>
          <w:lang w:val="en-US" w:eastAsia="zh-CN"/>
        </w:rPr>
      </w:pPr>
    </w:p>
    <w:bookmarkEnd w:id="57"/>
    <w:p w14:paraId="4E3D7F28">
      <w:pPr>
        <w:rPr>
          <w:rFonts w:hint="eastAsia"/>
        </w:rPr>
      </w:pPr>
      <w:bookmarkStart w:id="61" w:name="_Toc82505665"/>
    </w:p>
    <w:p w14:paraId="4A5E9E86">
      <w:pPr>
        <w:rPr>
          <w:rFonts w:hint="eastAsia"/>
        </w:rPr>
      </w:pPr>
    </w:p>
    <w:p w14:paraId="2AA6A0FB">
      <w:pPr>
        <w:rPr>
          <w:rFonts w:hint="eastAsia"/>
        </w:rPr>
      </w:pPr>
    </w:p>
    <w:p w14:paraId="3705DAA6">
      <w:pPr>
        <w:rPr>
          <w:rFonts w:hint="eastAsia"/>
        </w:rPr>
      </w:pPr>
    </w:p>
    <w:p w14:paraId="57B331BF">
      <w:pPr>
        <w:rPr>
          <w:rFonts w:hint="eastAsia"/>
        </w:rPr>
      </w:pPr>
    </w:p>
    <w:p w14:paraId="461421DF">
      <w:pPr>
        <w:rPr>
          <w:rFonts w:hint="eastAsia"/>
        </w:rPr>
      </w:pPr>
    </w:p>
    <w:p w14:paraId="753B3660">
      <w:pPr>
        <w:rPr>
          <w:rFonts w:hint="eastAsia"/>
        </w:rPr>
      </w:pPr>
    </w:p>
    <w:p w14:paraId="7D2940BA">
      <w:pPr>
        <w:rPr>
          <w:rFonts w:hint="eastAsia"/>
        </w:rPr>
      </w:pPr>
    </w:p>
    <w:p w14:paraId="4C67A3B9">
      <w:pPr>
        <w:rPr>
          <w:rFonts w:hint="eastAsia"/>
        </w:rPr>
      </w:pPr>
    </w:p>
    <w:p w14:paraId="5E51DDE1">
      <w:pPr>
        <w:rPr>
          <w:rFonts w:hint="eastAsia"/>
        </w:rPr>
      </w:pPr>
    </w:p>
    <w:p w14:paraId="3E56193E">
      <w:pPr>
        <w:rPr>
          <w:rFonts w:hint="eastAsia"/>
        </w:rPr>
      </w:pPr>
    </w:p>
    <w:p w14:paraId="449F4F86">
      <w:pPr>
        <w:rPr>
          <w:rFonts w:hint="eastAsia"/>
        </w:rPr>
      </w:pPr>
    </w:p>
    <w:p w14:paraId="213D0592">
      <w:pPr>
        <w:rPr>
          <w:rFonts w:hint="eastAsia"/>
        </w:rPr>
      </w:pPr>
    </w:p>
    <w:p w14:paraId="728D3A81">
      <w:pPr>
        <w:pStyle w:val="2"/>
        <w:widowControl/>
        <w:adjustRightInd w:val="0"/>
        <w:snapToGrid w:val="0"/>
        <w:spacing w:before="0" w:after="0" w:line="500" w:lineRule="exact"/>
        <w:jc w:val="center"/>
        <w:rPr>
          <w:rFonts w:ascii="宋体" w:hAnsi="宋体" w:cs="宋体"/>
          <w:b w:val="0"/>
        </w:rPr>
      </w:pPr>
      <w:r>
        <w:rPr>
          <w:rFonts w:hint="eastAsia" w:ascii="宋体" w:hAnsi="宋体" w:cs="宋体"/>
          <w:b w:val="0"/>
          <w:sz w:val="36"/>
          <w:szCs w:val="36"/>
        </w:rPr>
        <w:t>第四部分  响应文件</w:t>
      </w:r>
      <w:bookmarkEnd w:id="56"/>
      <w:r>
        <w:rPr>
          <w:rFonts w:hint="eastAsia" w:ascii="宋体" w:hAnsi="宋体" w:cs="宋体"/>
          <w:b w:val="0"/>
          <w:sz w:val="36"/>
          <w:szCs w:val="36"/>
        </w:rPr>
        <w:t>组成</w:t>
      </w:r>
      <w:bookmarkEnd w:id="61"/>
    </w:p>
    <w:p w14:paraId="083DE199">
      <w:pPr>
        <w:adjustRightInd w:val="0"/>
        <w:snapToGrid w:val="0"/>
        <w:spacing w:line="440" w:lineRule="exact"/>
        <w:ind w:firstLine="560" w:firstLineChars="200"/>
        <w:jc w:val="left"/>
        <w:rPr>
          <w:rFonts w:hint="eastAsia" w:ascii="宋体" w:hAnsi="宋体" w:cs="宋体"/>
          <w:b/>
          <w:sz w:val="28"/>
          <w:szCs w:val="28"/>
        </w:rPr>
      </w:pPr>
      <w:r>
        <w:rPr>
          <w:rFonts w:hint="eastAsia" w:ascii="宋体" w:hAnsi="宋体" w:cs="宋体"/>
          <w:b/>
          <w:sz w:val="28"/>
          <w:szCs w:val="28"/>
        </w:rPr>
        <w:t>响应文件由资格审查证明材料、价格文件二部分组成。</w:t>
      </w:r>
      <w:r>
        <w:rPr>
          <w:rFonts w:hint="eastAsia" w:ascii="宋体" w:hAnsi="宋体" w:cs="宋体"/>
          <w:b/>
          <w:bCs/>
          <w:kern w:val="0"/>
          <w:sz w:val="28"/>
          <w:szCs w:val="28"/>
          <w:lang w:val="zh-CN"/>
        </w:rPr>
        <w:t>请供应商根据本</w:t>
      </w:r>
      <w:r>
        <w:rPr>
          <w:rFonts w:hint="eastAsia" w:ascii="宋体" w:hAnsi="宋体" w:cs="宋体"/>
          <w:b/>
          <w:bCs/>
          <w:kern w:val="0"/>
          <w:sz w:val="28"/>
          <w:szCs w:val="28"/>
          <w:lang w:val="en-US" w:eastAsia="zh-CN"/>
        </w:rPr>
        <w:t>询价</w:t>
      </w:r>
      <w:r>
        <w:rPr>
          <w:rFonts w:hint="eastAsia" w:ascii="宋体" w:hAnsi="宋体" w:cs="宋体"/>
          <w:b/>
          <w:bCs/>
          <w:kern w:val="0"/>
          <w:sz w:val="28"/>
          <w:szCs w:val="28"/>
          <w:lang w:val="zh-CN"/>
        </w:rPr>
        <w:t>文件的要求</w:t>
      </w:r>
      <w:r>
        <w:rPr>
          <w:rFonts w:hint="eastAsia" w:ascii="宋体" w:hAnsi="宋体" w:cs="宋体"/>
          <w:b/>
          <w:bCs/>
          <w:kern w:val="0"/>
          <w:sz w:val="28"/>
          <w:szCs w:val="28"/>
        </w:rPr>
        <w:t>准备</w:t>
      </w:r>
      <w:r>
        <w:rPr>
          <w:rFonts w:hint="eastAsia" w:ascii="宋体" w:hAnsi="宋体" w:cs="宋体"/>
          <w:b/>
          <w:bCs/>
          <w:kern w:val="0"/>
          <w:sz w:val="28"/>
          <w:szCs w:val="28"/>
          <w:lang w:val="zh-CN"/>
        </w:rPr>
        <w:t>响应的材料。</w:t>
      </w:r>
    </w:p>
    <w:p w14:paraId="0E29A207">
      <w:pPr>
        <w:adjustRightInd w:val="0"/>
        <w:snapToGrid w:val="0"/>
        <w:spacing w:line="500" w:lineRule="exact"/>
        <w:rPr>
          <w:rFonts w:hint="eastAsia" w:ascii="宋体" w:hAnsi="宋体" w:cs="宋体"/>
          <w:kern w:val="0"/>
          <w:sz w:val="28"/>
          <w:szCs w:val="28"/>
          <w:highlight w:val="yellow"/>
          <w:lang w:val="zh-CN"/>
        </w:rPr>
      </w:pPr>
      <w:r>
        <w:rPr>
          <w:rFonts w:asciiTheme="minorEastAsia" w:hAnsiTheme="minorEastAsia" w:eastAsiaTheme="minorEastAsia"/>
          <w:b/>
          <w:bCs/>
          <w:kern w:val="0"/>
          <w:sz w:val="28"/>
          <w:szCs w:val="28"/>
          <w:lang w:val="zh-CN"/>
        </w:rPr>
        <w:t>一</w:t>
      </w:r>
      <w:r>
        <w:rPr>
          <w:rFonts w:asciiTheme="minorEastAsia" w:hAnsiTheme="minorEastAsia" w:eastAsiaTheme="minorEastAsia"/>
          <w:b/>
          <w:bCs/>
          <w:kern w:val="0"/>
          <w:sz w:val="28"/>
          <w:szCs w:val="28"/>
          <w:highlight w:val="none"/>
          <w:lang w:val="zh-CN"/>
        </w:rPr>
        <w:t>、资格审查证明材料</w:t>
      </w:r>
    </w:p>
    <w:p w14:paraId="1259F878">
      <w:pPr>
        <w:adjustRightInd w:val="0"/>
        <w:snapToGrid w:val="0"/>
        <w:spacing w:line="500" w:lineRule="exact"/>
        <w:ind w:firstLine="560" w:firstLineChars="200"/>
        <w:rPr>
          <w:rFonts w:ascii="宋体" w:hAnsi="宋体" w:cs="宋体"/>
          <w:kern w:val="0"/>
          <w:sz w:val="28"/>
          <w:szCs w:val="28"/>
          <w:lang w:val="zh-CN"/>
        </w:rPr>
      </w:pPr>
      <w:r>
        <w:rPr>
          <w:rFonts w:hint="eastAsia" w:ascii="宋体" w:hAnsi="宋体" w:cs="宋体"/>
          <w:kern w:val="0"/>
          <w:sz w:val="28"/>
          <w:szCs w:val="28"/>
          <w:lang w:val="zh-CN"/>
        </w:rPr>
        <w:t>1.</w:t>
      </w:r>
      <w:r>
        <w:rPr>
          <w:rFonts w:hint="eastAsia" w:ascii="宋体" w:hAnsi="宋体" w:cs="宋体"/>
          <w:kern w:val="0"/>
          <w:sz w:val="28"/>
          <w:szCs w:val="28"/>
        </w:rPr>
        <w:t>投标人符合《中华人民共和国政府采购法》第二十二条规定条件的声明函</w:t>
      </w:r>
      <w:r>
        <w:rPr>
          <w:rFonts w:hint="eastAsia" w:ascii="宋体" w:hAnsi="宋体" w:cs="宋体"/>
          <w:kern w:val="0"/>
          <w:sz w:val="28"/>
          <w:szCs w:val="28"/>
          <w:lang w:val="zh-CN"/>
        </w:rPr>
        <w:t>（格式见附件1）（如分公司参加投标的，另需提供总公司的授权证明）；</w:t>
      </w:r>
    </w:p>
    <w:p w14:paraId="3D4DC3C5">
      <w:pPr>
        <w:adjustRightInd w:val="0"/>
        <w:snapToGrid w:val="0"/>
        <w:spacing w:line="500" w:lineRule="exact"/>
        <w:ind w:firstLine="560" w:firstLineChars="200"/>
        <w:jc w:val="left"/>
        <w:rPr>
          <w:rFonts w:ascii="宋体" w:hAnsi="宋体" w:cs="宋体"/>
          <w:sz w:val="28"/>
          <w:szCs w:val="28"/>
          <w:highlight w:val="none"/>
        </w:rPr>
      </w:pPr>
      <w:r>
        <w:rPr>
          <w:rFonts w:hint="eastAsia" w:ascii="宋体" w:hAnsi="宋体" w:cs="宋体"/>
          <w:sz w:val="28"/>
          <w:szCs w:val="28"/>
        </w:rPr>
        <w:t>2.法定代表人身份证明书、法定代表人身份证正反</w:t>
      </w:r>
      <w:r>
        <w:rPr>
          <w:rFonts w:hint="eastAsia" w:ascii="宋体" w:hAnsi="宋体" w:cs="宋体"/>
          <w:sz w:val="28"/>
          <w:szCs w:val="28"/>
          <w:highlight w:val="none"/>
        </w:rPr>
        <w:t>面</w:t>
      </w:r>
      <w:r>
        <w:rPr>
          <w:rFonts w:hint="eastAsia" w:ascii="宋体" w:hAnsi="宋体" w:cs="宋体"/>
          <w:sz w:val="28"/>
          <w:szCs w:val="28"/>
          <w:highlight w:val="none"/>
          <w:lang w:val="en-US" w:eastAsia="zh-CN"/>
        </w:rPr>
        <w:t>彩色</w:t>
      </w:r>
      <w:r>
        <w:rPr>
          <w:rFonts w:hint="eastAsia" w:ascii="宋体" w:hAnsi="宋体" w:cs="宋体"/>
          <w:sz w:val="28"/>
          <w:szCs w:val="28"/>
          <w:highlight w:val="none"/>
        </w:rPr>
        <w:t>复印件（格式见附件2）；</w:t>
      </w:r>
    </w:p>
    <w:p w14:paraId="39357A23">
      <w:pPr>
        <w:adjustRightInd w:val="0"/>
        <w:snapToGrid w:val="0"/>
        <w:spacing w:line="500" w:lineRule="exact"/>
        <w:ind w:firstLine="560" w:firstLineChars="200"/>
        <w:jc w:val="left"/>
        <w:rPr>
          <w:rFonts w:ascii="宋体" w:hAnsi="宋体" w:cs="宋体"/>
          <w:sz w:val="28"/>
          <w:szCs w:val="28"/>
        </w:rPr>
      </w:pPr>
      <w:r>
        <w:rPr>
          <w:rFonts w:hint="eastAsia" w:ascii="宋体" w:hAnsi="宋体" w:cs="宋体"/>
          <w:sz w:val="28"/>
          <w:szCs w:val="28"/>
          <w:highlight w:val="none"/>
        </w:rPr>
        <w:t>3.法定代表人授权委托书、授权委托人（即代理人）身份证正反面</w:t>
      </w:r>
      <w:r>
        <w:rPr>
          <w:rFonts w:hint="eastAsia" w:ascii="宋体" w:hAnsi="宋体" w:cs="宋体"/>
          <w:sz w:val="28"/>
          <w:szCs w:val="28"/>
          <w:highlight w:val="none"/>
          <w:lang w:val="en-US" w:eastAsia="zh-CN"/>
        </w:rPr>
        <w:t>彩色</w:t>
      </w:r>
      <w:r>
        <w:rPr>
          <w:rFonts w:hint="eastAsia" w:ascii="宋体" w:hAnsi="宋体" w:cs="宋体"/>
          <w:sz w:val="28"/>
          <w:szCs w:val="28"/>
          <w:highlight w:val="none"/>
        </w:rPr>
        <w:t>复印件（格式见附件3</w:t>
      </w:r>
      <w:r>
        <w:rPr>
          <w:rFonts w:hint="eastAsia" w:ascii="宋体" w:hAnsi="宋体" w:cs="宋体"/>
          <w:bCs/>
          <w:sz w:val="28"/>
          <w:highlight w:val="none"/>
        </w:rPr>
        <w:t>，</w:t>
      </w:r>
      <w:r>
        <w:rPr>
          <w:rFonts w:hint="eastAsia" w:ascii="宋体" w:hAnsi="宋体" w:cs="宋体"/>
          <w:kern w:val="0"/>
          <w:sz w:val="28"/>
          <w:szCs w:val="28"/>
          <w:highlight w:val="none"/>
          <w:lang w:val="zh-CN"/>
        </w:rPr>
        <w:t>法定代表人参加的，无需提供授权委</w:t>
      </w:r>
      <w:r>
        <w:rPr>
          <w:rFonts w:hint="eastAsia" w:ascii="宋体" w:hAnsi="宋体" w:cs="宋体"/>
          <w:kern w:val="0"/>
          <w:sz w:val="28"/>
          <w:szCs w:val="28"/>
          <w:lang w:val="zh-CN"/>
        </w:rPr>
        <w:t>托书</w:t>
      </w:r>
      <w:r>
        <w:rPr>
          <w:rFonts w:hint="eastAsia" w:ascii="宋体" w:hAnsi="宋体" w:cs="宋体"/>
          <w:sz w:val="28"/>
          <w:szCs w:val="28"/>
        </w:rPr>
        <w:t>）；</w:t>
      </w:r>
    </w:p>
    <w:p w14:paraId="3A4DB20F">
      <w:pPr>
        <w:adjustRightInd w:val="0"/>
        <w:snapToGrid w:val="0"/>
        <w:spacing w:line="500" w:lineRule="exact"/>
        <w:ind w:firstLine="560" w:firstLineChars="200"/>
        <w:jc w:val="left"/>
        <w:rPr>
          <w:rFonts w:ascii="宋体" w:hAnsi="宋体" w:cs="宋体"/>
          <w:kern w:val="0"/>
          <w:sz w:val="28"/>
          <w:szCs w:val="28"/>
          <w:lang w:val="zh-CN"/>
        </w:rPr>
      </w:pPr>
      <w:r>
        <w:rPr>
          <w:rFonts w:hint="eastAsia" w:ascii="宋体" w:hAnsi="宋体" w:cs="宋体"/>
          <w:kern w:val="0"/>
          <w:sz w:val="28"/>
          <w:szCs w:val="28"/>
        </w:rPr>
        <w:t>4.提供</w:t>
      </w:r>
      <w:r>
        <w:rPr>
          <w:rFonts w:hint="eastAsia" w:ascii="宋体" w:hAnsi="宋体" w:cs="宋体"/>
          <w:sz w:val="28"/>
          <w:szCs w:val="28"/>
          <w:lang w:val="zh-CN"/>
        </w:rPr>
        <w:t>有效</w:t>
      </w:r>
      <w:r>
        <w:rPr>
          <w:rFonts w:hint="eastAsia" w:ascii="宋体" w:hAnsi="宋体" w:cs="宋体"/>
          <w:kern w:val="0"/>
          <w:sz w:val="28"/>
          <w:szCs w:val="28"/>
          <w:lang w:val="zh-CN"/>
        </w:rPr>
        <w:t>的营业执照</w:t>
      </w:r>
      <w:r>
        <w:rPr>
          <w:rFonts w:hint="eastAsia" w:ascii="宋体" w:hAnsi="宋体" w:cs="宋体"/>
          <w:kern w:val="0"/>
          <w:sz w:val="28"/>
          <w:szCs w:val="28"/>
        </w:rPr>
        <w:t>复印件</w:t>
      </w:r>
      <w:r>
        <w:rPr>
          <w:rFonts w:hint="eastAsia" w:ascii="宋体" w:hAnsi="宋体" w:cs="宋体"/>
          <w:kern w:val="0"/>
          <w:sz w:val="28"/>
          <w:szCs w:val="28"/>
          <w:lang w:val="zh-CN"/>
        </w:rPr>
        <w:t>（</w:t>
      </w:r>
      <w:r>
        <w:rPr>
          <w:rFonts w:hint="eastAsia" w:ascii="宋体" w:hAnsi="宋体" w:cs="宋体"/>
          <w:bCs/>
          <w:kern w:val="0"/>
          <w:sz w:val="28"/>
          <w:szCs w:val="28"/>
        </w:rPr>
        <w:t>加盖报价单位</w:t>
      </w:r>
      <w:r>
        <w:rPr>
          <w:rFonts w:hint="eastAsia" w:ascii="宋体" w:hAnsi="宋体" w:cs="宋体"/>
          <w:bCs/>
          <w:kern w:val="0"/>
          <w:sz w:val="28"/>
          <w:szCs w:val="28"/>
          <w:lang w:val="zh-CN"/>
        </w:rPr>
        <w:t>公章</w:t>
      </w:r>
      <w:r>
        <w:rPr>
          <w:rFonts w:hint="eastAsia" w:ascii="宋体" w:hAnsi="宋体" w:cs="宋体"/>
          <w:kern w:val="0"/>
          <w:sz w:val="28"/>
          <w:szCs w:val="28"/>
          <w:lang w:val="zh-CN"/>
        </w:rPr>
        <w:t>）；</w:t>
      </w:r>
    </w:p>
    <w:p w14:paraId="0E52942F">
      <w:pPr>
        <w:adjustRightInd w:val="0"/>
        <w:snapToGrid w:val="0"/>
        <w:spacing w:line="500" w:lineRule="exact"/>
        <w:ind w:firstLine="560" w:firstLineChars="200"/>
        <w:jc w:val="left"/>
        <w:rPr>
          <w:rFonts w:hint="eastAsia" w:ascii="宋体" w:hAnsi="宋体" w:cs="宋体"/>
          <w:sz w:val="28"/>
          <w:szCs w:val="28"/>
        </w:rPr>
      </w:pPr>
      <w:r>
        <w:rPr>
          <w:rFonts w:hint="eastAsia" w:ascii="宋体" w:hAnsi="宋体" w:cs="宋体"/>
          <w:sz w:val="28"/>
          <w:szCs w:val="28"/>
        </w:rPr>
        <w:t>5.质保承诺书（</w:t>
      </w:r>
      <w:r>
        <w:rPr>
          <w:rFonts w:hint="eastAsia" w:ascii="宋体" w:hAnsi="宋体" w:cs="宋体"/>
          <w:bCs/>
          <w:kern w:val="0"/>
          <w:sz w:val="28"/>
          <w:szCs w:val="28"/>
          <w:lang w:val="zh-CN"/>
        </w:rPr>
        <w:t>格式见</w:t>
      </w:r>
      <w:r>
        <w:rPr>
          <w:rFonts w:hint="eastAsia" w:ascii="宋体" w:hAnsi="宋体" w:cs="宋体"/>
          <w:sz w:val="28"/>
          <w:szCs w:val="28"/>
        </w:rPr>
        <w:t>附件</w:t>
      </w:r>
      <w:r>
        <w:rPr>
          <w:rFonts w:hint="eastAsia" w:ascii="宋体" w:hAnsi="宋体" w:cs="宋体"/>
          <w:sz w:val="28"/>
          <w:szCs w:val="28"/>
          <w:lang w:val="en-US" w:eastAsia="zh-CN"/>
        </w:rPr>
        <w:t>7</w:t>
      </w:r>
      <w:r>
        <w:rPr>
          <w:rFonts w:hint="eastAsia" w:ascii="宋体" w:hAnsi="宋体" w:cs="宋体"/>
          <w:sz w:val="28"/>
          <w:szCs w:val="28"/>
        </w:rPr>
        <w:t>）；</w:t>
      </w:r>
    </w:p>
    <w:p w14:paraId="6C331E3D">
      <w:pPr>
        <w:adjustRightInd w:val="0"/>
        <w:snapToGrid w:val="0"/>
        <w:spacing w:line="500" w:lineRule="exact"/>
        <w:ind w:firstLine="560" w:firstLineChars="200"/>
        <w:jc w:val="left"/>
        <w:rPr>
          <w:rFonts w:ascii="宋体" w:hAnsi="宋体" w:cs="宋体"/>
          <w:sz w:val="28"/>
          <w:szCs w:val="28"/>
        </w:rPr>
      </w:pPr>
      <w:r>
        <w:rPr>
          <w:rFonts w:hint="eastAsia" w:ascii="宋体" w:hAnsi="宋体" w:cs="宋体"/>
          <w:sz w:val="28"/>
          <w:szCs w:val="28"/>
        </w:rPr>
        <w:t>6.</w:t>
      </w:r>
      <w:r>
        <w:rPr>
          <w:rFonts w:hint="eastAsia" w:ascii="宋体" w:hAnsi="宋体" w:cs="宋体"/>
          <w:sz w:val="28"/>
          <w:szCs w:val="28"/>
          <w:lang w:val="en-US" w:eastAsia="zh-CN"/>
        </w:rPr>
        <w:t>未被“信用中国”、“中国政府采购网”、“信用江苏”网站列入失信被执行人、重大税收违法案件当事人名单、政府采购严重违法失信行为记录名单(提供网页截图)；</w:t>
      </w:r>
    </w:p>
    <w:p w14:paraId="196450D8">
      <w:pPr>
        <w:adjustRightInd w:val="0"/>
        <w:snapToGrid w:val="0"/>
        <w:spacing w:line="500" w:lineRule="exact"/>
        <w:ind w:firstLine="560" w:firstLineChars="200"/>
        <w:jc w:val="left"/>
        <w:rPr>
          <w:rFonts w:ascii="宋体" w:hAnsi="宋体" w:cs="宋体"/>
          <w:sz w:val="28"/>
          <w:szCs w:val="28"/>
        </w:rPr>
      </w:pPr>
      <w:r>
        <w:rPr>
          <w:rFonts w:hint="eastAsia" w:ascii="宋体" w:hAnsi="宋体" w:cs="宋体"/>
          <w:sz w:val="28"/>
          <w:szCs w:val="28"/>
          <w:lang w:val="en-US" w:eastAsia="zh-CN"/>
        </w:rPr>
        <w:t>7</w:t>
      </w:r>
      <w:r>
        <w:rPr>
          <w:rFonts w:hint="eastAsia" w:ascii="宋体" w:hAnsi="宋体" w:cs="宋体"/>
          <w:sz w:val="28"/>
          <w:szCs w:val="28"/>
        </w:rPr>
        <w:t>.商务部分正负偏离表（</w:t>
      </w:r>
      <w:r>
        <w:rPr>
          <w:rFonts w:hint="eastAsia" w:ascii="宋体" w:hAnsi="宋体" w:cs="宋体"/>
          <w:bCs/>
          <w:kern w:val="0"/>
          <w:sz w:val="28"/>
          <w:szCs w:val="28"/>
          <w:lang w:val="zh-CN"/>
        </w:rPr>
        <w:t>格式见</w:t>
      </w:r>
      <w:r>
        <w:rPr>
          <w:rFonts w:hint="eastAsia" w:ascii="宋体" w:hAnsi="宋体" w:cs="宋体"/>
          <w:sz w:val="28"/>
          <w:szCs w:val="28"/>
        </w:rPr>
        <w:t>附件</w:t>
      </w:r>
      <w:r>
        <w:rPr>
          <w:rFonts w:hint="eastAsia" w:ascii="宋体" w:hAnsi="宋体" w:cs="宋体"/>
          <w:sz w:val="28"/>
          <w:szCs w:val="28"/>
          <w:lang w:val="en-US" w:eastAsia="zh-CN"/>
        </w:rPr>
        <w:t>4</w:t>
      </w:r>
      <w:r>
        <w:rPr>
          <w:rFonts w:hint="eastAsia" w:ascii="宋体" w:hAnsi="宋体" w:cs="宋体"/>
          <w:sz w:val="28"/>
          <w:szCs w:val="28"/>
        </w:rPr>
        <w:t>）；</w:t>
      </w:r>
    </w:p>
    <w:p w14:paraId="422BD8E1">
      <w:pPr>
        <w:adjustRightInd w:val="0"/>
        <w:snapToGrid w:val="0"/>
        <w:spacing w:line="500" w:lineRule="exact"/>
        <w:ind w:firstLine="560" w:firstLineChars="200"/>
        <w:jc w:val="left"/>
        <w:rPr>
          <w:rFonts w:ascii="宋体" w:hAnsi="宋体" w:cs="宋体"/>
          <w:sz w:val="28"/>
          <w:szCs w:val="28"/>
        </w:rPr>
      </w:pPr>
      <w:r>
        <w:rPr>
          <w:rFonts w:hint="eastAsia" w:ascii="宋体" w:hAnsi="宋体" w:cs="宋体"/>
          <w:sz w:val="28"/>
          <w:szCs w:val="28"/>
          <w:lang w:val="en-US" w:eastAsia="zh-CN"/>
        </w:rPr>
        <w:t>8.</w:t>
      </w:r>
      <w:r>
        <w:rPr>
          <w:rFonts w:hint="eastAsia" w:ascii="宋体" w:hAnsi="宋体" w:cs="宋体"/>
          <w:sz w:val="28"/>
          <w:szCs w:val="28"/>
        </w:rPr>
        <w:t>技术部分正负偏离表（</w:t>
      </w:r>
      <w:r>
        <w:rPr>
          <w:rFonts w:hint="eastAsia" w:ascii="宋体" w:hAnsi="宋体" w:cs="宋体"/>
          <w:bCs/>
          <w:kern w:val="0"/>
          <w:sz w:val="28"/>
          <w:szCs w:val="28"/>
          <w:lang w:val="zh-CN"/>
        </w:rPr>
        <w:t>格式见</w:t>
      </w:r>
      <w:r>
        <w:rPr>
          <w:rFonts w:hint="eastAsia" w:ascii="宋体" w:hAnsi="宋体" w:cs="宋体"/>
          <w:sz w:val="28"/>
          <w:szCs w:val="28"/>
        </w:rPr>
        <w:t>附件</w:t>
      </w:r>
      <w:r>
        <w:rPr>
          <w:rFonts w:hint="eastAsia" w:ascii="宋体" w:hAnsi="宋体" w:cs="宋体"/>
          <w:sz w:val="28"/>
          <w:szCs w:val="28"/>
          <w:lang w:val="en-US" w:eastAsia="zh-CN"/>
        </w:rPr>
        <w:t>5</w:t>
      </w:r>
      <w:r>
        <w:rPr>
          <w:rFonts w:hint="eastAsia" w:ascii="宋体" w:hAnsi="宋体" w:cs="宋体"/>
          <w:sz w:val="28"/>
          <w:szCs w:val="28"/>
        </w:rPr>
        <w:t>）；</w:t>
      </w:r>
    </w:p>
    <w:p w14:paraId="67430527">
      <w:pPr>
        <w:adjustRightInd w:val="0"/>
        <w:snapToGrid w:val="0"/>
        <w:spacing w:line="500" w:lineRule="exact"/>
        <w:ind w:firstLine="560" w:firstLineChars="200"/>
        <w:jc w:val="left"/>
        <w:rPr>
          <w:rFonts w:hint="eastAsia" w:ascii="宋体" w:hAnsi="宋体" w:cs="宋体"/>
          <w:sz w:val="28"/>
          <w:szCs w:val="28"/>
          <w:lang w:val="zh-CN"/>
        </w:rPr>
      </w:pPr>
      <w:r>
        <w:rPr>
          <w:rFonts w:hint="eastAsia" w:ascii="宋体" w:hAnsi="宋体" w:cs="宋体"/>
          <w:sz w:val="28"/>
          <w:szCs w:val="28"/>
          <w:lang w:val="zh-CN"/>
        </w:rPr>
        <w:t>填制商务和技术正负偏离表，完全响应的，请以空白表列示。不完全响应的，必须在偏离表中列示；列示不全的，视同故意隐瞒。</w:t>
      </w:r>
    </w:p>
    <w:p w14:paraId="23C02CE4">
      <w:pPr>
        <w:adjustRightInd w:val="0"/>
        <w:snapToGrid w:val="0"/>
        <w:spacing w:line="500" w:lineRule="exact"/>
        <w:ind w:firstLine="560" w:firstLineChars="200"/>
        <w:jc w:val="left"/>
        <w:rPr>
          <w:rFonts w:hint="default" w:ascii="宋体" w:hAnsi="宋体" w:eastAsia="宋体" w:cs="宋体"/>
          <w:sz w:val="28"/>
          <w:szCs w:val="28"/>
          <w:lang w:val="en-US" w:eastAsia="zh-CN"/>
        </w:rPr>
      </w:pPr>
      <w:r>
        <w:rPr>
          <w:rFonts w:hint="eastAsia" w:ascii="宋体" w:hAnsi="宋体" w:cs="宋体"/>
          <w:sz w:val="28"/>
          <w:szCs w:val="28"/>
          <w:lang w:val="en-US" w:eastAsia="zh-CN"/>
        </w:rPr>
        <w:t>9.</w:t>
      </w:r>
      <w:r>
        <w:rPr>
          <w:rFonts w:hint="eastAsia" w:ascii="宋体" w:hAnsi="宋体" w:cs="宋体"/>
          <w:sz w:val="28"/>
          <w:szCs w:val="28"/>
        </w:rPr>
        <w:t>本项目采购文件要求响应供应商提供的和响应供应商认为与本项目有关的并可以提供的其他材料。</w:t>
      </w:r>
    </w:p>
    <w:p w14:paraId="23967738">
      <w:pPr>
        <w:adjustRightInd w:val="0"/>
        <w:snapToGrid w:val="0"/>
        <w:spacing w:line="500" w:lineRule="exact"/>
        <w:rPr>
          <w:rFonts w:hint="eastAsia" w:asciiTheme="minorEastAsia" w:hAnsiTheme="minorEastAsia" w:eastAsiaTheme="minorEastAsia"/>
          <w:b/>
          <w:bCs/>
          <w:kern w:val="0"/>
          <w:sz w:val="28"/>
          <w:szCs w:val="28"/>
          <w:lang w:val="zh-CN"/>
        </w:rPr>
      </w:pPr>
      <w:r>
        <w:rPr>
          <w:rFonts w:hint="eastAsia" w:asciiTheme="minorEastAsia" w:hAnsiTheme="minorEastAsia" w:eastAsiaTheme="minorEastAsia"/>
          <w:b/>
          <w:bCs/>
          <w:kern w:val="0"/>
          <w:sz w:val="28"/>
          <w:szCs w:val="28"/>
          <w:lang w:val="en-US" w:eastAsia="zh-CN"/>
        </w:rPr>
        <w:t>二、</w:t>
      </w:r>
      <w:r>
        <w:rPr>
          <w:rFonts w:hint="eastAsia" w:asciiTheme="minorEastAsia" w:hAnsiTheme="minorEastAsia" w:eastAsiaTheme="minorEastAsia"/>
          <w:b/>
          <w:bCs/>
          <w:kern w:val="0"/>
          <w:sz w:val="28"/>
          <w:szCs w:val="28"/>
          <w:lang w:val="zh-CN"/>
        </w:rPr>
        <w:t>价格标</w:t>
      </w:r>
    </w:p>
    <w:p w14:paraId="1F221A22">
      <w:pPr>
        <w:adjustRightInd w:val="0"/>
        <w:snapToGrid w:val="0"/>
        <w:spacing w:line="500" w:lineRule="exact"/>
        <w:ind w:firstLine="560" w:firstLineChars="200"/>
        <w:jc w:val="left"/>
        <w:rPr>
          <w:rFonts w:ascii="宋体" w:hAnsi="宋体" w:cs="宋体"/>
          <w:sz w:val="28"/>
          <w:szCs w:val="28"/>
        </w:rPr>
      </w:pPr>
      <w:r>
        <w:rPr>
          <w:rFonts w:hint="eastAsia" w:ascii="宋体" w:hAnsi="宋体" w:cs="宋体"/>
          <w:sz w:val="28"/>
          <w:szCs w:val="28"/>
        </w:rPr>
        <w:t>1.报价表（格式见附件</w:t>
      </w:r>
      <w:r>
        <w:rPr>
          <w:rFonts w:hint="eastAsia" w:ascii="宋体" w:hAnsi="宋体" w:cs="宋体"/>
          <w:sz w:val="28"/>
          <w:szCs w:val="28"/>
          <w:lang w:val="en-US" w:eastAsia="zh-CN"/>
        </w:rPr>
        <w:t>6</w:t>
      </w:r>
      <w:r>
        <w:rPr>
          <w:rFonts w:hint="eastAsia" w:ascii="宋体" w:hAnsi="宋体" w:cs="宋体"/>
          <w:sz w:val="28"/>
          <w:szCs w:val="28"/>
        </w:rPr>
        <w:t>）；</w:t>
      </w:r>
    </w:p>
    <w:p w14:paraId="360C1B2F">
      <w:pPr>
        <w:adjustRightInd w:val="0"/>
        <w:snapToGrid w:val="0"/>
        <w:spacing w:line="500" w:lineRule="exact"/>
        <w:ind w:firstLine="560" w:firstLineChars="200"/>
        <w:jc w:val="left"/>
        <w:rPr>
          <w:rFonts w:ascii="宋体" w:hAnsi="宋体" w:cs="宋体"/>
          <w:b/>
          <w:bCs/>
          <w:sz w:val="28"/>
          <w:szCs w:val="28"/>
        </w:rPr>
      </w:pPr>
      <w:r>
        <w:rPr>
          <w:rFonts w:hint="eastAsia" w:ascii="宋体" w:hAnsi="宋体" w:cs="宋体"/>
          <w:b/>
          <w:bCs/>
          <w:sz w:val="28"/>
          <w:szCs w:val="28"/>
        </w:rPr>
        <w:t>注：响应文件1份正本2份副本，响应文件中必须包含上述要求提供的所有材料的复印件并加盖报价单位公章，否则以未实质性响应采购文件处理。响应文件装订成册并密封，密封袋上标明：采购人名称、项目名称、供应商名称、响应文件名称，否则视为无效报价。</w:t>
      </w:r>
    </w:p>
    <w:p w14:paraId="6A3A81D6">
      <w:pPr>
        <w:widowControl/>
        <w:ind w:firstLine="210"/>
        <w:jc w:val="left"/>
        <w:rPr>
          <w:rFonts w:hint="eastAsia" w:ascii="宋体" w:hAnsi="宋体" w:cs="宋体"/>
          <w:kern w:val="0"/>
          <w:sz w:val="32"/>
          <w:szCs w:val="32"/>
          <w:lang w:val="zh-CN"/>
        </w:rPr>
      </w:pPr>
      <w:r>
        <w:rPr>
          <w:rFonts w:ascii="宋体" w:hAnsi="宋体" w:cs="宋体"/>
          <w:szCs w:val="20"/>
          <w:lang w:val="zh-CN"/>
        </w:rPr>
        <w:br w:type="page"/>
      </w:r>
    </w:p>
    <w:p w14:paraId="57BF731E">
      <w:pPr>
        <w:snapToGrid w:val="0"/>
        <w:spacing w:line="400" w:lineRule="exact"/>
        <w:ind w:firstLine="320"/>
        <w:contextualSpacing/>
        <w:rPr>
          <w:rFonts w:ascii="宋体" w:hAnsi="宋体" w:cs="宋体"/>
          <w:kern w:val="0"/>
          <w:sz w:val="32"/>
          <w:szCs w:val="32"/>
          <w:lang w:val="zh-CN"/>
        </w:rPr>
      </w:pPr>
      <w:r>
        <w:rPr>
          <w:rFonts w:hint="eastAsia" w:ascii="宋体" w:hAnsi="宋体" w:cs="宋体"/>
          <w:kern w:val="0"/>
          <w:sz w:val="32"/>
          <w:szCs w:val="32"/>
          <w:lang w:val="zh-CN"/>
        </w:rPr>
        <w:t>附件1</w:t>
      </w:r>
    </w:p>
    <w:p w14:paraId="382B42E5">
      <w:pPr>
        <w:ind w:firstLine="301"/>
        <w:jc w:val="center"/>
        <w:rPr>
          <w:rFonts w:ascii="宋体" w:hAnsi="宋体" w:cs="宋体"/>
          <w:b/>
          <w:color w:val="000000"/>
          <w:sz w:val="30"/>
          <w:szCs w:val="30"/>
        </w:rPr>
      </w:pPr>
      <w:r>
        <w:rPr>
          <w:rFonts w:hint="eastAsia" w:ascii="宋体" w:hAnsi="宋体" w:cs="宋体"/>
          <w:b/>
          <w:color w:val="000000"/>
          <w:sz w:val="30"/>
          <w:szCs w:val="30"/>
        </w:rPr>
        <w:t>投标人符合《中华人民共和国政府采购法》第二十二条规定条件的声明函</w:t>
      </w:r>
    </w:p>
    <w:p w14:paraId="68632A85">
      <w:pPr>
        <w:spacing w:line="460" w:lineRule="exact"/>
        <w:ind w:firstLine="442"/>
        <w:rPr>
          <w:rFonts w:ascii="宋体" w:hAnsi="宋体" w:cs="宋体"/>
          <w:b/>
          <w:bCs/>
          <w:color w:val="000000"/>
          <w:sz w:val="44"/>
          <w:szCs w:val="44"/>
        </w:rPr>
      </w:pPr>
    </w:p>
    <w:p w14:paraId="4BA381C0">
      <w:pPr>
        <w:spacing w:line="520" w:lineRule="exact"/>
        <w:ind w:firstLine="480" w:firstLineChars="200"/>
        <w:rPr>
          <w:rFonts w:ascii="宋体" w:hAnsi="宋体" w:cs="宋体"/>
          <w:b/>
          <w:bCs/>
          <w:color w:val="000000"/>
          <w:sz w:val="24"/>
        </w:rPr>
      </w:pPr>
      <w:r>
        <w:rPr>
          <w:rFonts w:hint="eastAsia" w:ascii="宋体" w:hAnsi="宋体" w:cs="宋体"/>
          <w:bCs/>
          <w:color w:val="000000"/>
          <w:sz w:val="24"/>
        </w:rPr>
        <w:t>我单位参加</w:t>
      </w:r>
      <w:r>
        <w:rPr>
          <w:rFonts w:hint="eastAsia" w:ascii="宋体" w:hAnsi="宋体" w:cs="宋体"/>
          <w:bCs/>
          <w:color w:val="000000"/>
          <w:sz w:val="24"/>
          <w:szCs w:val="21"/>
          <w:u w:val="none"/>
        </w:rPr>
        <w:t>_________________</w:t>
      </w:r>
      <w:r>
        <w:rPr>
          <w:rFonts w:hint="eastAsia" w:ascii="宋体" w:hAnsi="宋体" w:cs="宋体"/>
          <w:bCs/>
          <w:color w:val="000000"/>
          <w:sz w:val="24"/>
          <w:szCs w:val="21"/>
        </w:rPr>
        <w:t>（项目名称）的投标活动。针对《中华人民共和国政府采购法》第二十二条规定做出如下声明：</w:t>
      </w:r>
    </w:p>
    <w:p w14:paraId="76A32D98">
      <w:pPr>
        <w:spacing w:line="520" w:lineRule="exact"/>
        <w:ind w:firstLine="240"/>
        <w:rPr>
          <w:rFonts w:ascii="宋体" w:hAnsi="宋体" w:cs="宋体"/>
          <w:color w:val="000000"/>
          <w:sz w:val="24"/>
        </w:rPr>
      </w:pPr>
      <w:r>
        <w:rPr>
          <w:rFonts w:hint="eastAsia" w:ascii="宋体" w:hAnsi="宋体" w:cs="宋体"/>
          <w:bCs/>
          <w:color w:val="000000"/>
          <w:sz w:val="24"/>
          <w:szCs w:val="21"/>
        </w:rPr>
        <w:t>1.我单位具有独立承担民事责任的能力；</w:t>
      </w:r>
    </w:p>
    <w:p w14:paraId="52842BEB">
      <w:pPr>
        <w:spacing w:line="520" w:lineRule="exact"/>
        <w:ind w:firstLine="240"/>
        <w:rPr>
          <w:rFonts w:ascii="宋体" w:hAnsi="宋体" w:cs="宋体"/>
          <w:color w:val="000000"/>
          <w:sz w:val="24"/>
        </w:rPr>
      </w:pPr>
      <w:r>
        <w:rPr>
          <w:rFonts w:hint="eastAsia" w:ascii="宋体" w:hAnsi="宋体" w:cs="宋体"/>
          <w:color w:val="000000"/>
          <w:sz w:val="24"/>
        </w:rPr>
        <w:t>2.我单位具有良好的商业信誉和健全的财务会计制度；</w:t>
      </w:r>
    </w:p>
    <w:p w14:paraId="3D1C46E8">
      <w:pPr>
        <w:spacing w:line="520" w:lineRule="exact"/>
        <w:ind w:firstLine="240"/>
        <w:rPr>
          <w:rFonts w:ascii="宋体" w:hAnsi="宋体" w:cs="宋体"/>
          <w:color w:val="000000"/>
          <w:sz w:val="24"/>
        </w:rPr>
      </w:pPr>
      <w:r>
        <w:rPr>
          <w:rFonts w:hint="eastAsia" w:ascii="宋体" w:hAnsi="宋体" w:cs="宋体"/>
          <w:color w:val="000000"/>
          <w:sz w:val="24"/>
        </w:rPr>
        <w:t>3.我单位具有履行合同所必需的设备和专业技术能力；</w:t>
      </w:r>
    </w:p>
    <w:p w14:paraId="4CFE77FD">
      <w:pPr>
        <w:spacing w:line="520" w:lineRule="exact"/>
        <w:ind w:firstLine="240"/>
        <w:rPr>
          <w:rFonts w:ascii="宋体" w:hAnsi="宋体" w:cs="宋体"/>
          <w:color w:val="000000"/>
          <w:sz w:val="24"/>
        </w:rPr>
      </w:pPr>
      <w:r>
        <w:rPr>
          <w:rFonts w:hint="eastAsia" w:ascii="宋体" w:hAnsi="宋体" w:cs="宋体"/>
          <w:color w:val="000000"/>
          <w:sz w:val="24"/>
        </w:rPr>
        <w:t>4.我单位有依法缴纳税收和社会保障资金的良好记录；</w:t>
      </w:r>
    </w:p>
    <w:p w14:paraId="74CAF411">
      <w:pPr>
        <w:spacing w:line="520" w:lineRule="exact"/>
        <w:ind w:firstLine="240"/>
        <w:rPr>
          <w:rFonts w:ascii="宋体" w:hAnsi="宋体" w:cs="宋体"/>
          <w:color w:val="000000"/>
          <w:sz w:val="24"/>
        </w:rPr>
      </w:pPr>
      <w:r>
        <w:rPr>
          <w:rFonts w:hint="eastAsia" w:ascii="宋体" w:hAnsi="宋体" w:cs="宋体"/>
          <w:color w:val="000000"/>
          <w:sz w:val="24"/>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1770EA27">
      <w:pPr>
        <w:spacing w:line="520" w:lineRule="exact"/>
        <w:ind w:firstLine="240"/>
        <w:rPr>
          <w:rFonts w:ascii="宋体" w:hAnsi="宋体" w:cs="宋体"/>
          <w:color w:val="000000"/>
          <w:sz w:val="24"/>
        </w:rPr>
      </w:pPr>
      <w:r>
        <w:rPr>
          <w:rFonts w:hint="eastAsia" w:ascii="宋体" w:hAnsi="宋体" w:cs="宋体"/>
          <w:color w:val="000000"/>
          <w:sz w:val="24"/>
        </w:rPr>
        <w:t>6.我单位满足法律、行政法规规定的其他条件。</w:t>
      </w:r>
    </w:p>
    <w:p w14:paraId="11A96124">
      <w:pPr>
        <w:spacing w:line="500" w:lineRule="exact"/>
        <w:ind w:firstLine="240"/>
        <w:rPr>
          <w:rFonts w:ascii="宋体" w:hAnsi="宋体" w:cs="宋体"/>
          <w:color w:val="000000"/>
          <w:sz w:val="24"/>
        </w:rPr>
      </w:pPr>
    </w:p>
    <w:p w14:paraId="665B562F">
      <w:pPr>
        <w:spacing w:line="500" w:lineRule="exact"/>
        <w:ind w:firstLine="240"/>
        <w:rPr>
          <w:rFonts w:ascii="宋体" w:hAnsi="宋体" w:cs="宋体"/>
          <w:color w:val="000000"/>
          <w:sz w:val="24"/>
        </w:rPr>
      </w:pPr>
    </w:p>
    <w:p w14:paraId="47506921">
      <w:pPr>
        <w:spacing w:line="500" w:lineRule="exact"/>
        <w:ind w:firstLine="240"/>
        <w:rPr>
          <w:rFonts w:ascii="宋体" w:hAnsi="宋体" w:cs="宋体"/>
          <w:bCs/>
          <w:color w:val="000000"/>
          <w:sz w:val="24"/>
          <w:szCs w:val="21"/>
        </w:rPr>
      </w:pPr>
    </w:p>
    <w:p w14:paraId="678BC852">
      <w:pPr>
        <w:spacing w:line="500" w:lineRule="exact"/>
        <w:ind w:firstLine="240"/>
        <w:rPr>
          <w:rFonts w:ascii="宋体" w:hAnsi="宋体" w:cs="宋体"/>
          <w:bCs/>
          <w:color w:val="000000"/>
          <w:sz w:val="24"/>
          <w:szCs w:val="21"/>
        </w:rPr>
      </w:pPr>
    </w:p>
    <w:p w14:paraId="506095FA">
      <w:pPr>
        <w:spacing w:line="500" w:lineRule="exact"/>
        <w:ind w:firstLine="240"/>
        <w:rPr>
          <w:rFonts w:ascii="宋体" w:hAnsi="宋体" w:cs="宋体"/>
          <w:bCs/>
          <w:color w:val="000000"/>
          <w:sz w:val="24"/>
          <w:szCs w:val="21"/>
        </w:rPr>
      </w:pPr>
    </w:p>
    <w:p w14:paraId="612F2868">
      <w:pPr>
        <w:spacing w:line="460" w:lineRule="exact"/>
        <w:ind w:firstLine="240"/>
        <w:jc w:val="center"/>
        <w:rPr>
          <w:rFonts w:ascii="宋体" w:hAnsi="宋体" w:cs="宋体"/>
          <w:bCs/>
          <w:color w:val="000000"/>
          <w:sz w:val="24"/>
          <w:szCs w:val="21"/>
        </w:rPr>
      </w:pPr>
      <w:r>
        <w:rPr>
          <w:rFonts w:hint="eastAsia" w:ascii="宋体" w:hAnsi="宋体" w:cs="宋体"/>
          <w:bCs/>
          <w:color w:val="000000"/>
          <w:sz w:val="24"/>
          <w:szCs w:val="21"/>
        </w:rPr>
        <w:t xml:space="preserve">                           承诺人名称（公章）：</w:t>
      </w:r>
    </w:p>
    <w:p w14:paraId="5A6603AF">
      <w:pPr>
        <w:spacing w:line="460" w:lineRule="exact"/>
        <w:ind w:firstLine="240"/>
        <w:jc w:val="right"/>
        <w:rPr>
          <w:rFonts w:ascii="宋体" w:hAnsi="宋体" w:cs="宋体"/>
          <w:bCs/>
          <w:color w:val="000000"/>
          <w:sz w:val="24"/>
          <w:szCs w:val="21"/>
        </w:rPr>
      </w:pPr>
    </w:p>
    <w:p w14:paraId="6663B10B">
      <w:pPr>
        <w:spacing w:line="460" w:lineRule="exact"/>
        <w:ind w:firstLine="240"/>
        <w:jc w:val="center"/>
        <w:rPr>
          <w:rFonts w:ascii="宋体" w:hAnsi="宋体" w:cs="宋体"/>
          <w:bCs/>
          <w:color w:val="000000"/>
          <w:sz w:val="24"/>
          <w:szCs w:val="21"/>
        </w:rPr>
      </w:pPr>
      <w:r>
        <w:rPr>
          <w:rFonts w:hint="eastAsia" w:ascii="宋体" w:hAnsi="宋体" w:cs="宋体"/>
          <w:bCs/>
          <w:color w:val="000000"/>
          <w:sz w:val="24"/>
          <w:szCs w:val="21"/>
        </w:rPr>
        <w:t xml:space="preserve">                           日期：   年   月   日</w:t>
      </w:r>
    </w:p>
    <w:p w14:paraId="45154E32">
      <w:pPr>
        <w:spacing w:line="360" w:lineRule="auto"/>
        <w:ind w:firstLine="280"/>
        <w:rPr>
          <w:rFonts w:ascii="宋体" w:hAnsi="宋体" w:cs="宋体"/>
          <w:bCs/>
          <w:sz w:val="28"/>
          <w:szCs w:val="22"/>
        </w:rPr>
      </w:pPr>
      <w:bookmarkStart w:id="65" w:name="_GoBack"/>
      <w:bookmarkEnd w:id="65"/>
    </w:p>
    <w:p w14:paraId="4C20083A">
      <w:pPr>
        <w:spacing w:line="360" w:lineRule="auto"/>
        <w:ind w:firstLine="240"/>
        <w:rPr>
          <w:rFonts w:ascii="宋体" w:hAnsi="宋体" w:cs="宋体"/>
          <w:bCs/>
          <w:sz w:val="24"/>
          <w:szCs w:val="21"/>
        </w:rPr>
      </w:pPr>
      <w:r>
        <w:rPr>
          <w:rFonts w:hint="eastAsia" w:ascii="宋体" w:hAnsi="宋体" w:cs="宋体"/>
          <w:bCs/>
          <w:sz w:val="24"/>
          <w:szCs w:val="21"/>
        </w:rPr>
        <w:br w:type="page"/>
      </w:r>
    </w:p>
    <w:p w14:paraId="16A6E5E4">
      <w:pPr>
        <w:ind w:firstLine="320"/>
        <w:jc w:val="left"/>
        <w:rPr>
          <w:rFonts w:ascii="宋体" w:hAnsi="宋体" w:cs="宋体"/>
          <w:bCs/>
          <w:sz w:val="32"/>
          <w:szCs w:val="32"/>
        </w:rPr>
      </w:pPr>
      <w:r>
        <w:rPr>
          <w:rFonts w:hint="eastAsia" w:ascii="宋体" w:hAnsi="宋体" w:cs="宋体"/>
          <w:bCs/>
          <w:sz w:val="32"/>
          <w:szCs w:val="32"/>
        </w:rPr>
        <w:t>附件2</w:t>
      </w:r>
    </w:p>
    <w:p w14:paraId="36EDC139">
      <w:pPr>
        <w:spacing w:line="560" w:lineRule="exact"/>
        <w:ind w:firstLine="321"/>
        <w:jc w:val="center"/>
        <w:rPr>
          <w:rFonts w:ascii="宋体" w:hAnsi="宋体" w:cs="宋体"/>
          <w:b/>
          <w:bCs/>
          <w:sz w:val="32"/>
          <w:szCs w:val="32"/>
        </w:rPr>
      </w:pPr>
      <w:r>
        <w:rPr>
          <w:rFonts w:hint="eastAsia" w:ascii="宋体" w:hAnsi="宋体" w:cs="宋体"/>
          <w:b/>
          <w:bCs/>
          <w:sz w:val="32"/>
          <w:szCs w:val="32"/>
        </w:rPr>
        <w:t>法定代表人身份证明</w:t>
      </w:r>
    </w:p>
    <w:p w14:paraId="573321C3">
      <w:pPr>
        <w:spacing w:line="480" w:lineRule="exact"/>
        <w:ind w:firstLine="240"/>
        <w:rPr>
          <w:rFonts w:ascii="宋体" w:hAnsi="宋体" w:cs="宋体"/>
          <w:sz w:val="24"/>
        </w:rPr>
      </w:pPr>
    </w:p>
    <w:p w14:paraId="2401B72F">
      <w:pPr>
        <w:widowControl/>
        <w:shd w:val="clear" w:color="auto" w:fill="FFFFFF"/>
        <w:spacing w:before="100" w:beforeAutospacing="1" w:after="100" w:afterAutospacing="1" w:line="312" w:lineRule="auto"/>
        <w:ind w:firstLine="480"/>
        <w:rPr>
          <w:rFonts w:hint="default" w:ascii="宋体" w:hAnsi="宋体" w:eastAsia="宋体" w:cs="宋体"/>
          <w:color w:val="auto"/>
          <w:kern w:val="0"/>
          <w:sz w:val="28"/>
          <w:szCs w:val="28"/>
          <w:highlight w:val="none"/>
          <w:u w:val="single"/>
          <w:shd w:val="clear" w:color="auto" w:fill="FFFFFF"/>
          <w:lang w:val="en-US" w:eastAsia="zh-CN"/>
        </w:rPr>
      </w:pPr>
      <w:r>
        <w:rPr>
          <w:rFonts w:hint="eastAsia" w:ascii="宋体" w:hAnsi="宋体" w:eastAsia="宋体" w:cs="宋体"/>
          <w:color w:val="auto"/>
          <w:kern w:val="0"/>
          <w:sz w:val="28"/>
          <w:szCs w:val="28"/>
          <w:highlight w:val="none"/>
          <w:shd w:val="clear" w:color="auto" w:fill="FFFFFF"/>
        </w:rPr>
        <w:t>单位名称：</w:t>
      </w:r>
      <w:r>
        <w:rPr>
          <w:rFonts w:hint="eastAsia" w:ascii="宋体" w:hAnsi="宋体" w:cs="宋体"/>
          <w:color w:val="auto"/>
          <w:kern w:val="0"/>
          <w:sz w:val="28"/>
          <w:szCs w:val="28"/>
          <w:highlight w:val="none"/>
          <w:u w:val="single"/>
          <w:shd w:val="clear" w:color="auto" w:fill="FFFFFF"/>
          <w:lang w:val="en-US" w:eastAsia="zh-CN"/>
        </w:rPr>
        <w:t xml:space="preserve">                              </w:t>
      </w:r>
    </w:p>
    <w:p w14:paraId="22DBC30D">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单位性质：</w:t>
      </w:r>
      <w:r>
        <w:rPr>
          <w:rFonts w:hint="eastAsia" w:ascii="宋体" w:hAnsi="宋体" w:cs="宋体"/>
          <w:color w:val="auto"/>
          <w:kern w:val="0"/>
          <w:sz w:val="28"/>
          <w:szCs w:val="28"/>
          <w:highlight w:val="none"/>
          <w:u w:val="single"/>
          <w:shd w:val="clear" w:color="auto" w:fill="FFFFFF"/>
          <w:lang w:val="en-US" w:eastAsia="zh-CN"/>
        </w:rPr>
        <w:t xml:space="preserve">                              </w:t>
      </w:r>
    </w:p>
    <w:p w14:paraId="596B778D">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u w:val="single"/>
          <w:shd w:val="clear" w:color="auto" w:fill="FFFFFF"/>
        </w:rPr>
      </w:pPr>
      <w:r>
        <w:rPr>
          <w:rFonts w:hint="eastAsia" w:ascii="宋体" w:hAnsi="宋体" w:eastAsia="宋体" w:cs="宋体"/>
          <w:color w:val="auto"/>
          <w:kern w:val="0"/>
          <w:sz w:val="28"/>
          <w:szCs w:val="28"/>
          <w:highlight w:val="none"/>
          <w:shd w:val="clear" w:color="auto" w:fill="FFFFFF"/>
        </w:rPr>
        <w:t>地    址：</w:t>
      </w:r>
      <w:r>
        <w:rPr>
          <w:rFonts w:hint="eastAsia" w:ascii="宋体" w:hAnsi="宋体" w:cs="宋体"/>
          <w:color w:val="auto"/>
          <w:kern w:val="0"/>
          <w:sz w:val="28"/>
          <w:szCs w:val="28"/>
          <w:highlight w:val="none"/>
          <w:u w:val="single"/>
          <w:shd w:val="clear" w:color="auto" w:fill="FFFFFF"/>
          <w:lang w:val="en-US" w:eastAsia="zh-CN"/>
        </w:rPr>
        <w:t xml:space="preserve">                              </w:t>
      </w:r>
    </w:p>
    <w:p w14:paraId="7C971E5F">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成立时间：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年</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月</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日</w:t>
      </w:r>
    </w:p>
    <w:p w14:paraId="298D1CDA">
      <w:pPr>
        <w:widowControl/>
        <w:shd w:val="clear" w:color="auto" w:fill="FFFFFF"/>
        <w:spacing w:before="100" w:beforeAutospacing="1" w:after="100" w:afterAutospacing="1" w:line="312" w:lineRule="auto"/>
        <w:ind w:firstLine="480"/>
        <w:rPr>
          <w:rFonts w:hint="default" w:ascii="宋体" w:hAnsi="宋体" w:eastAsia="宋体" w:cs="宋体"/>
          <w:color w:val="auto"/>
          <w:kern w:val="0"/>
          <w:sz w:val="28"/>
          <w:szCs w:val="28"/>
          <w:highlight w:val="none"/>
          <w:shd w:val="clear" w:color="auto" w:fill="FFFFFF"/>
          <w:lang w:val="en-US"/>
        </w:rPr>
      </w:pPr>
      <w:r>
        <w:rPr>
          <w:rFonts w:hint="eastAsia" w:ascii="宋体" w:hAnsi="宋体" w:eastAsia="宋体" w:cs="宋体"/>
          <w:color w:val="auto"/>
          <w:kern w:val="0"/>
          <w:sz w:val="28"/>
          <w:szCs w:val="28"/>
          <w:highlight w:val="none"/>
          <w:shd w:val="clear" w:color="auto" w:fill="FFFFFF"/>
        </w:rPr>
        <w:t>经营期限：</w:t>
      </w:r>
      <w:r>
        <w:rPr>
          <w:rFonts w:hint="eastAsia" w:ascii="宋体" w:hAnsi="宋体" w:cs="宋体"/>
          <w:color w:val="auto"/>
          <w:kern w:val="0"/>
          <w:sz w:val="28"/>
          <w:szCs w:val="28"/>
          <w:highlight w:val="none"/>
          <w:u w:val="single"/>
          <w:shd w:val="clear" w:color="auto" w:fill="FFFFFF"/>
          <w:lang w:val="en-US" w:eastAsia="zh-CN"/>
        </w:rPr>
        <w:t xml:space="preserve">                  </w:t>
      </w:r>
    </w:p>
    <w:p w14:paraId="366833F5">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姓    名：</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性别：</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年龄：</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cs="宋体"/>
          <w:color w:val="auto"/>
          <w:kern w:val="0"/>
          <w:sz w:val="28"/>
          <w:szCs w:val="28"/>
          <w:highlight w:val="none"/>
          <w:u w:val="none"/>
          <w:shd w:val="clear" w:color="auto" w:fill="FFFFFF"/>
          <w:lang w:val="en-US" w:eastAsia="zh-CN"/>
        </w:rPr>
        <w:t xml:space="preserve"> 身份证号码：</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职务：</w:t>
      </w:r>
      <w:r>
        <w:rPr>
          <w:rFonts w:hint="eastAsia" w:ascii="宋体" w:hAnsi="宋体" w:cs="宋体"/>
          <w:color w:val="auto"/>
          <w:kern w:val="0"/>
          <w:sz w:val="28"/>
          <w:szCs w:val="28"/>
          <w:highlight w:val="none"/>
          <w:u w:val="singl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 xml:space="preserve">  系：</w:t>
      </w:r>
      <w:r>
        <w:rPr>
          <w:rFonts w:hint="eastAsia" w:ascii="宋体" w:hAnsi="宋体" w:eastAsia="宋体" w:cs="宋体"/>
          <w:color w:val="auto"/>
          <w:kern w:val="0"/>
          <w:sz w:val="28"/>
          <w:szCs w:val="28"/>
          <w:highlight w:val="none"/>
          <w:u w:val="single"/>
          <w:shd w:val="clear" w:color="auto" w:fill="FFFFFF"/>
        </w:rPr>
        <w:t xml:space="preserve"> (响应供应商名称)   </w:t>
      </w:r>
      <w:r>
        <w:rPr>
          <w:rFonts w:hint="eastAsia" w:ascii="宋体" w:hAnsi="宋体" w:eastAsia="宋体" w:cs="宋体"/>
          <w:color w:val="auto"/>
          <w:kern w:val="0"/>
          <w:sz w:val="28"/>
          <w:szCs w:val="28"/>
          <w:highlight w:val="none"/>
          <w:shd w:val="clear" w:color="auto" w:fill="FFFFFF"/>
        </w:rPr>
        <w:t>的法定代表人。</w:t>
      </w:r>
    </w:p>
    <w:p w14:paraId="0D2057BF">
      <w:pPr>
        <w:widowControl/>
        <w:shd w:val="clear" w:color="auto" w:fill="FFFFFF"/>
        <w:spacing w:before="100" w:beforeAutospacing="1" w:after="100" w:afterAutospacing="1" w:line="312" w:lineRule="auto"/>
        <w:ind w:firstLine="480"/>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特此证明</w:t>
      </w:r>
    </w:p>
    <w:p w14:paraId="5D9812E0">
      <w:pPr>
        <w:widowControl/>
        <w:shd w:val="clear" w:color="auto" w:fill="FFFFFF"/>
        <w:spacing w:before="100" w:beforeAutospacing="1" w:after="100" w:afterAutospacing="1" w:line="312" w:lineRule="auto"/>
        <w:ind w:firstLine="3578" w:firstLineChars="1278"/>
        <w:jc w:val="left"/>
        <w:rPr>
          <w:rFonts w:hint="eastAsia" w:ascii="宋体" w:hAnsi="宋体" w:eastAsia="宋体" w:cs="宋体"/>
          <w:color w:val="auto"/>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响应供应商全称(盖公章)：</w:t>
      </w:r>
    </w:p>
    <w:p w14:paraId="7945F6CB">
      <w:pPr>
        <w:widowControl/>
        <w:shd w:val="clear" w:color="auto" w:fill="FFFFFF"/>
        <w:spacing w:before="100" w:beforeAutospacing="1" w:after="100" w:afterAutospacing="1" w:line="312" w:lineRule="auto"/>
        <w:ind w:firstLine="3578" w:firstLineChars="1278"/>
        <w:jc w:val="left"/>
        <w:rPr>
          <w:rFonts w:hint="eastAsia" w:ascii="宋体" w:hAnsi="宋体" w:eastAsia="宋体" w:cs="宋体"/>
          <w:color w:val="auto"/>
          <w:kern w:val="0"/>
          <w:sz w:val="28"/>
          <w:szCs w:val="28"/>
          <w:highlight w:val="none"/>
          <w:shd w:val="clear" w:color="auto" w:fill="FFFFFF"/>
        </w:rPr>
      </w:pPr>
      <w:r>
        <w:rPr>
          <w:rFonts w:hint="eastAsia" w:ascii="宋体" w:hAnsi="宋体" w:eastAsia="宋体" w:cs="宋体"/>
          <w:color w:val="auto"/>
          <w:kern w:val="0"/>
          <w:sz w:val="28"/>
          <w:szCs w:val="28"/>
          <w:highlight w:val="none"/>
          <w:shd w:val="clear" w:color="auto" w:fill="FFFFFF"/>
        </w:rPr>
        <w:t>日期：年</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月</w:t>
      </w:r>
      <w:r>
        <w:rPr>
          <w:rFonts w:hint="eastAsia" w:ascii="宋体" w:hAnsi="宋体" w:cs="宋体"/>
          <w:color w:val="auto"/>
          <w:kern w:val="0"/>
          <w:sz w:val="28"/>
          <w:szCs w:val="28"/>
          <w:highlight w:val="none"/>
          <w:shd w:val="clear" w:color="auto" w:fill="FFFFFF"/>
          <w:lang w:val="en-US" w:eastAsia="zh-CN"/>
        </w:rPr>
        <w:t xml:space="preserve">  </w:t>
      </w:r>
      <w:r>
        <w:rPr>
          <w:rFonts w:hint="eastAsia" w:ascii="宋体" w:hAnsi="宋体" w:eastAsia="宋体" w:cs="宋体"/>
          <w:color w:val="auto"/>
          <w:kern w:val="0"/>
          <w:sz w:val="28"/>
          <w:szCs w:val="28"/>
          <w:highlight w:val="none"/>
          <w:shd w:val="clear" w:color="auto" w:fill="FFFFFF"/>
        </w:rPr>
        <w:t>日</w:t>
      </w:r>
    </w:p>
    <w:p w14:paraId="77409B7D">
      <w:pPr>
        <w:snapToGrid w:val="0"/>
        <w:spacing w:line="460" w:lineRule="exact"/>
        <w:rPr>
          <w:rFonts w:hint="eastAsia" w:ascii="宋体" w:hAnsi="宋体"/>
          <w:b/>
          <w:color w:val="FF0000"/>
          <w:sz w:val="24"/>
          <w:szCs w:val="21"/>
        </w:rPr>
      </w:pPr>
      <w:r>
        <w:rPr>
          <w:rFonts w:hint="eastAsia" w:ascii="宋体" w:hAnsi="宋体"/>
          <w:b/>
          <w:color w:val="FF0000"/>
          <w:sz w:val="24"/>
          <w:szCs w:val="21"/>
        </w:rPr>
        <w:t>注：必须按以上格式填写，不按以上格式提供的作无效标处理；以上内容有缺项或者漏项的均作无效标处理。</w:t>
      </w:r>
    </w:p>
    <w:p w14:paraId="7275F67D">
      <w:pPr>
        <w:ind w:firstLine="210"/>
        <w:rPr>
          <w:rFonts w:ascii="宋体" w:hAnsi="宋体" w:cs="宋体"/>
        </w:rPr>
      </w:pPr>
    </w:p>
    <w:p w14:paraId="0F78B878">
      <w:pPr>
        <w:widowControl/>
        <w:spacing w:line="360" w:lineRule="auto"/>
        <w:ind w:firstLine="241"/>
        <w:rPr>
          <w:rFonts w:hint="default" w:ascii="宋体" w:hAnsi="宋体" w:eastAsia="宋体" w:cs="宋体"/>
          <w:b/>
          <w:bCs/>
          <w:kern w:val="0"/>
          <w:sz w:val="28"/>
          <w:szCs w:val="28"/>
          <w:lang w:val="en-US" w:eastAsia="zh-CN"/>
        </w:rPr>
      </w:pPr>
      <w:r>
        <w:rPr>
          <w:rFonts w:hint="eastAsia" w:ascii="宋体" w:hAnsi="宋体" w:cs="宋体"/>
          <w:b/>
          <w:sz w:val="24"/>
        </w:rPr>
        <w:t>附：法定代表人的身份证正反</w:t>
      </w:r>
      <w:r>
        <w:rPr>
          <w:rFonts w:hint="eastAsia" w:ascii="宋体" w:hAnsi="宋体" w:cs="宋体"/>
          <w:b/>
          <w:color w:val="auto"/>
          <w:sz w:val="24"/>
          <w:highlight w:val="none"/>
        </w:rPr>
        <w:t>面</w:t>
      </w:r>
      <w:r>
        <w:rPr>
          <w:rFonts w:hint="eastAsia" w:ascii="宋体" w:hAnsi="宋体" w:cs="宋体"/>
          <w:b/>
          <w:color w:val="FF0000"/>
          <w:sz w:val="24"/>
          <w:highlight w:val="none"/>
          <w:lang w:val="en-US" w:eastAsia="zh-CN"/>
        </w:rPr>
        <w:t>彩色</w:t>
      </w:r>
      <w:r>
        <w:rPr>
          <w:rFonts w:hint="eastAsia" w:ascii="宋体" w:hAnsi="宋体" w:cs="宋体"/>
          <w:b/>
          <w:color w:val="auto"/>
          <w:sz w:val="24"/>
          <w:highlight w:val="none"/>
        </w:rPr>
        <w:t>复印</w:t>
      </w:r>
      <w:r>
        <w:rPr>
          <w:rFonts w:hint="eastAsia" w:ascii="宋体" w:hAnsi="宋体" w:cs="宋体"/>
          <w:b/>
          <w:sz w:val="24"/>
        </w:rPr>
        <w:t>件</w:t>
      </w:r>
      <w:r>
        <w:rPr>
          <w:rFonts w:hint="eastAsia" w:ascii="宋体" w:hAnsi="宋体" w:cs="宋体"/>
          <w:b/>
          <w:sz w:val="24"/>
          <w:lang w:eastAsia="zh-CN"/>
        </w:rPr>
        <w:t>（</w:t>
      </w:r>
      <w:r>
        <w:rPr>
          <w:rFonts w:hint="eastAsia" w:ascii="宋体" w:hAnsi="宋体" w:cs="宋体"/>
          <w:b/>
          <w:sz w:val="24"/>
          <w:lang w:val="en-US" w:eastAsia="zh-CN"/>
        </w:rPr>
        <w:t>盖公章）</w:t>
      </w:r>
    </w:p>
    <w:p w14:paraId="1239AFBC">
      <w:pPr>
        <w:adjustRightInd w:val="0"/>
        <w:snapToGrid w:val="0"/>
        <w:spacing w:line="312" w:lineRule="auto"/>
        <w:ind w:firstLine="560" w:firstLineChars="200"/>
        <w:jc w:val="left"/>
        <w:rPr>
          <w:rFonts w:ascii="宋体" w:hAnsi="宋体" w:cs="宋体"/>
          <w:b/>
          <w:sz w:val="28"/>
          <w:szCs w:val="28"/>
        </w:rPr>
      </w:pPr>
    </w:p>
    <w:p w14:paraId="1529E9B6">
      <w:pPr>
        <w:adjustRightInd w:val="0"/>
        <w:snapToGrid w:val="0"/>
        <w:spacing w:line="312" w:lineRule="auto"/>
        <w:ind w:firstLine="281"/>
        <w:jc w:val="left"/>
        <w:rPr>
          <w:rFonts w:ascii="宋体" w:hAnsi="宋体" w:cs="宋体"/>
          <w:sz w:val="32"/>
          <w:szCs w:val="32"/>
        </w:rPr>
      </w:pPr>
      <w:r>
        <w:rPr>
          <w:rFonts w:hint="eastAsia" w:ascii="宋体" w:hAnsi="宋体" w:cs="宋体"/>
          <w:b/>
          <w:bCs/>
          <w:sz w:val="28"/>
          <w:szCs w:val="28"/>
        </w:rPr>
        <w:br w:type="page"/>
      </w:r>
      <w:r>
        <w:rPr>
          <w:rFonts w:hint="eastAsia" w:ascii="宋体" w:hAnsi="宋体" w:cs="宋体"/>
          <w:sz w:val="32"/>
          <w:szCs w:val="32"/>
        </w:rPr>
        <w:t>附件3</w:t>
      </w:r>
    </w:p>
    <w:p w14:paraId="7F6F4038">
      <w:pPr>
        <w:ind w:firstLine="321"/>
        <w:jc w:val="center"/>
        <w:rPr>
          <w:rFonts w:ascii="宋体" w:hAnsi="宋体" w:cs="宋体"/>
          <w:b/>
          <w:bCs/>
          <w:sz w:val="32"/>
          <w:szCs w:val="40"/>
        </w:rPr>
      </w:pPr>
      <w:r>
        <w:rPr>
          <w:rFonts w:hint="eastAsia" w:ascii="宋体" w:hAnsi="宋体" w:cs="宋体"/>
          <w:b/>
          <w:bCs/>
          <w:sz w:val="32"/>
          <w:szCs w:val="40"/>
        </w:rPr>
        <w:t>法定代表人授权委托书</w:t>
      </w:r>
    </w:p>
    <w:p w14:paraId="557094D7">
      <w:pPr>
        <w:adjustRightInd w:val="0"/>
        <w:snapToGrid w:val="0"/>
        <w:spacing w:line="312" w:lineRule="auto"/>
        <w:ind w:firstLine="480" w:firstLineChars="200"/>
        <w:jc w:val="left"/>
        <w:rPr>
          <w:rFonts w:ascii="宋体" w:hAnsi="宋体" w:cs="宋体"/>
          <w:sz w:val="24"/>
        </w:rPr>
      </w:pPr>
    </w:p>
    <w:p w14:paraId="41691050">
      <w:pPr>
        <w:adjustRightInd w:val="0"/>
        <w:snapToGrid w:val="0"/>
        <w:spacing w:line="312" w:lineRule="auto"/>
        <w:ind w:firstLine="280"/>
        <w:jc w:val="left"/>
        <w:rPr>
          <w:rFonts w:ascii="宋体" w:hAnsi="宋体" w:cs="宋体"/>
          <w:sz w:val="28"/>
          <w:szCs w:val="28"/>
        </w:rPr>
      </w:pPr>
      <w:r>
        <w:rPr>
          <w:rFonts w:hint="eastAsia" w:ascii="宋体" w:hAnsi="宋体" w:cs="宋体"/>
          <w:sz w:val="28"/>
          <w:szCs w:val="28"/>
          <w:u w:val="single"/>
          <w:lang w:eastAsia="zh-CN"/>
        </w:rPr>
        <w:t>启东市城市水处理有限公司</w:t>
      </w:r>
      <w:r>
        <w:rPr>
          <w:rFonts w:hint="eastAsia" w:ascii="宋体" w:hAnsi="宋体" w:cs="宋体"/>
          <w:sz w:val="28"/>
          <w:szCs w:val="28"/>
        </w:rPr>
        <w:t>：</w:t>
      </w:r>
    </w:p>
    <w:p w14:paraId="41F239B8">
      <w:pPr>
        <w:adjustRightInd w:val="0"/>
        <w:snapToGrid w:val="0"/>
        <w:spacing w:line="312" w:lineRule="auto"/>
        <w:ind w:firstLine="560" w:firstLineChars="200"/>
        <w:jc w:val="left"/>
        <w:rPr>
          <w:rFonts w:ascii="宋体" w:hAnsi="宋体" w:cs="宋体"/>
          <w:sz w:val="28"/>
          <w:szCs w:val="28"/>
        </w:rPr>
      </w:pPr>
      <w:r>
        <w:rPr>
          <w:rFonts w:hint="eastAsia" w:ascii="宋体" w:hAnsi="宋体" w:cs="宋体"/>
          <w:sz w:val="28"/>
          <w:szCs w:val="28"/>
        </w:rPr>
        <w:t>本授权书声明：</w:t>
      </w:r>
    </w:p>
    <w:p w14:paraId="24081E47">
      <w:pPr>
        <w:adjustRightInd w:val="0"/>
        <w:snapToGrid w:val="0"/>
        <w:spacing w:line="312" w:lineRule="auto"/>
        <w:ind w:firstLine="560" w:firstLineChars="200"/>
        <w:jc w:val="left"/>
        <w:rPr>
          <w:rFonts w:ascii="宋体" w:hAnsi="宋体" w:cs="宋体"/>
          <w:sz w:val="28"/>
          <w:szCs w:val="28"/>
          <w:u w:val="single"/>
        </w:rPr>
      </w:pPr>
      <w:r>
        <w:rPr>
          <w:rFonts w:hint="eastAsia" w:ascii="宋体" w:hAnsi="宋体" w:cs="宋体"/>
          <w:sz w:val="28"/>
          <w:szCs w:val="28"/>
        </w:rPr>
        <w:t>我</w:t>
      </w:r>
      <w:r>
        <w:rPr>
          <w:rFonts w:hint="eastAsia" w:ascii="宋体" w:hAnsi="宋体" w:cs="宋体"/>
          <w:sz w:val="28"/>
          <w:szCs w:val="28"/>
          <w:u w:val="single"/>
        </w:rPr>
        <w:t>（姓名）</w:t>
      </w:r>
      <w:r>
        <w:rPr>
          <w:rFonts w:hint="eastAsia" w:ascii="宋体" w:hAnsi="宋体" w:cs="宋体"/>
          <w:sz w:val="28"/>
          <w:szCs w:val="28"/>
        </w:rPr>
        <w:t>，系</w:t>
      </w:r>
      <w:r>
        <w:rPr>
          <w:rFonts w:hint="eastAsia" w:ascii="宋体" w:hAnsi="宋体" w:cs="宋体"/>
          <w:sz w:val="28"/>
          <w:szCs w:val="28"/>
          <w:u w:val="single"/>
        </w:rPr>
        <w:t>（响应供应商全称）</w:t>
      </w:r>
      <w:r>
        <w:rPr>
          <w:rFonts w:hint="eastAsia" w:ascii="宋体" w:hAnsi="宋体" w:cs="宋体"/>
          <w:sz w:val="28"/>
          <w:szCs w:val="28"/>
        </w:rPr>
        <w:t>的法定代表人，现授权</w:t>
      </w:r>
      <w:r>
        <w:rPr>
          <w:rFonts w:hint="eastAsia" w:ascii="宋体" w:hAnsi="宋体" w:cs="宋体"/>
          <w:sz w:val="28"/>
          <w:szCs w:val="28"/>
          <w:u w:val="single"/>
        </w:rPr>
        <w:t>（姓名）</w:t>
      </w:r>
      <w:r>
        <w:rPr>
          <w:rFonts w:hint="eastAsia" w:ascii="宋体" w:hAnsi="宋体" w:cs="宋体"/>
          <w:sz w:val="28"/>
          <w:szCs w:val="28"/>
        </w:rPr>
        <w:t>为我公司的授权委托人（即代理人），以我公司的名义参加采购项目的响应报价，全权代表我公司处理本次询价采购的一切事宜。</w:t>
      </w:r>
    </w:p>
    <w:p w14:paraId="7E6B421C">
      <w:pPr>
        <w:adjustRightInd w:val="0"/>
        <w:snapToGrid w:val="0"/>
        <w:spacing w:line="312" w:lineRule="auto"/>
        <w:ind w:firstLine="560" w:firstLineChars="200"/>
        <w:jc w:val="left"/>
        <w:rPr>
          <w:rFonts w:ascii="宋体" w:hAnsi="宋体" w:cs="宋体"/>
          <w:sz w:val="28"/>
          <w:szCs w:val="28"/>
        </w:rPr>
      </w:pPr>
      <w:r>
        <w:rPr>
          <w:rFonts w:hint="eastAsia" w:ascii="宋体" w:hAnsi="宋体" w:cs="宋体"/>
          <w:sz w:val="28"/>
          <w:szCs w:val="28"/>
        </w:rPr>
        <w:t>授权委托人（即代理人）在采购过程中所签署的一切文件、报价、承诺和处理与之有关的一切事项，我均予以承认。</w:t>
      </w:r>
    </w:p>
    <w:p w14:paraId="4DB22AEC">
      <w:pPr>
        <w:adjustRightInd w:val="0"/>
        <w:snapToGrid w:val="0"/>
        <w:spacing w:line="312" w:lineRule="auto"/>
        <w:ind w:firstLine="560" w:firstLineChars="200"/>
        <w:jc w:val="left"/>
        <w:rPr>
          <w:rFonts w:ascii="宋体" w:hAnsi="宋体" w:cs="宋体"/>
          <w:sz w:val="28"/>
          <w:szCs w:val="28"/>
        </w:rPr>
      </w:pPr>
      <w:r>
        <w:rPr>
          <w:rFonts w:hint="eastAsia" w:ascii="宋体" w:hAnsi="宋体" w:cs="宋体"/>
          <w:sz w:val="28"/>
          <w:szCs w:val="28"/>
        </w:rPr>
        <w:t>授权委托人无转委权。</w:t>
      </w:r>
    </w:p>
    <w:p w14:paraId="6A3E5CCC">
      <w:pPr>
        <w:spacing w:line="312" w:lineRule="auto"/>
        <w:ind w:firstLine="280"/>
        <w:rPr>
          <w:rFonts w:ascii="宋体" w:hAnsi="宋体" w:cs="宋体"/>
          <w:sz w:val="28"/>
          <w:szCs w:val="28"/>
        </w:rPr>
      </w:pPr>
    </w:p>
    <w:p w14:paraId="71091E2C">
      <w:pPr>
        <w:spacing w:line="440" w:lineRule="exact"/>
        <w:ind w:firstLine="280"/>
        <w:rPr>
          <w:rFonts w:ascii="宋体" w:hAnsi="宋体" w:cs="宋体"/>
          <w:sz w:val="28"/>
          <w:szCs w:val="28"/>
        </w:rPr>
      </w:pPr>
      <w:r>
        <w:rPr>
          <w:rFonts w:hint="eastAsia" w:ascii="宋体" w:hAnsi="宋体" w:cs="宋体"/>
          <w:sz w:val="28"/>
          <w:szCs w:val="28"/>
        </w:rPr>
        <w:t>授权委托人（签字）： 性别： 年龄： 职务：</w:t>
      </w:r>
    </w:p>
    <w:p w14:paraId="6B64FC54">
      <w:pPr>
        <w:spacing w:line="440" w:lineRule="exact"/>
        <w:ind w:firstLine="280"/>
        <w:rPr>
          <w:rFonts w:ascii="宋体" w:hAnsi="宋体" w:cs="宋体"/>
          <w:sz w:val="28"/>
          <w:szCs w:val="28"/>
        </w:rPr>
      </w:pPr>
    </w:p>
    <w:p w14:paraId="71D83F47">
      <w:pPr>
        <w:spacing w:line="440" w:lineRule="exact"/>
        <w:ind w:firstLine="280"/>
        <w:rPr>
          <w:rFonts w:ascii="宋体" w:hAnsi="宋体" w:cs="宋体"/>
          <w:sz w:val="28"/>
          <w:szCs w:val="28"/>
        </w:rPr>
      </w:pPr>
      <w:r>
        <w:rPr>
          <w:rFonts w:hint="eastAsia" w:ascii="宋体" w:hAnsi="宋体" w:cs="宋体"/>
          <w:sz w:val="28"/>
          <w:szCs w:val="28"/>
        </w:rPr>
        <w:t>身份证号码：</w:t>
      </w:r>
    </w:p>
    <w:p w14:paraId="166AAABB">
      <w:pPr>
        <w:spacing w:line="440" w:lineRule="exact"/>
        <w:ind w:firstLine="280"/>
        <w:rPr>
          <w:rFonts w:ascii="宋体" w:hAnsi="宋体" w:cs="宋体"/>
          <w:sz w:val="28"/>
          <w:szCs w:val="28"/>
        </w:rPr>
      </w:pPr>
    </w:p>
    <w:p w14:paraId="2D45297F">
      <w:pPr>
        <w:spacing w:line="440" w:lineRule="exact"/>
        <w:ind w:firstLine="280"/>
        <w:rPr>
          <w:rFonts w:ascii="宋体" w:hAnsi="宋体" w:cs="宋体"/>
          <w:sz w:val="28"/>
          <w:szCs w:val="28"/>
        </w:rPr>
      </w:pPr>
      <w:r>
        <w:rPr>
          <w:rFonts w:hint="eastAsia" w:ascii="宋体" w:hAnsi="宋体" w:cs="宋体"/>
          <w:sz w:val="28"/>
          <w:szCs w:val="28"/>
        </w:rPr>
        <w:t>通讯地址：</w:t>
      </w:r>
    </w:p>
    <w:p w14:paraId="5787A7F8">
      <w:pPr>
        <w:spacing w:line="440" w:lineRule="exact"/>
        <w:ind w:firstLine="280"/>
        <w:rPr>
          <w:rFonts w:ascii="宋体" w:hAnsi="宋体" w:cs="宋体"/>
          <w:sz w:val="28"/>
          <w:szCs w:val="28"/>
        </w:rPr>
      </w:pPr>
    </w:p>
    <w:p w14:paraId="5B7CF695">
      <w:pPr>
        <w:spacing w:line="440" w:lineRule="exact"/>
        <w:ind w:firstLine="280"/>
        <w:rPr>
          <w:rFonts w:ascii="宋体" w:hAnsi="宋体" w:cs="宋体"/>
          <w:sz w:val="28"/>
          <w:szCs w:val="28"/>
        </w:rPr>
      </w:pPr>
      <w:r>
        <w:rPr>
          <w:rFonts w:hint="eastAsia" w:ascii="宋体" w:hAnsi="宋体" w:cs="宋体"/>
          <w:sz w:val="28"/>
          <w:szCs w:val="28"/>
        </w:rPr>
        <w:t>联系电话：</w:t>
      </w:r>
    </w:p>
    <w:p w14:paraId="03216A81">
      <w:pPr>
        <w:spacing w:line="440" w:lineRule="exact"/>
        <w:ind w:firstLine="280"/>
        <w:rPr>
          <w:rFonts w:ascii="宋体" w:hAnsi="宋体" w:cs="宋体"/>
          <w:sz w:val="28"/>
          <w:szCs w:val="28"/>
        </w:rPr>
      </w:pPr>
    </w:p>
    <w:p w14:paraId="1D58207C">
      <w:pPr>
        <w:spacing w:line="440" w:lineRule="exact"/>
        <w:ind w:firstLine="280"/>
        <w:rPr>
          <w:rFonts w:ascii="宋体" w:hAnsi="宋体" w:cs="宋体"/>
          <w:sz w:val="28"/>
          <w:szCs w:val="28"/>
        </w:rPr>
      </w:pPr>
      <w:r>
        <w:rPr>
          <w:rFonts w:hint="eastAsia" w:ascii="宋体" w:hAnsi="宋体" w:cs="宋体"/>
          <w:sz w:val="28"/>
          <w:szCs w:val="28"/>
        </w:rPr>
        <w:t>法定代表人（签字或盖章）：</w:t>
      </w:r>
    </w:p>
    <w:p w14:paraId="2A0931B7">
      <w:pPr>
        <w:spacing w:line="440" w:lineRule="exact"/>
        <w:ind w:firstLine="280"/>
        <w:rPr>
          <w:rFonts w:ascii="宋体" w:hAnsi="宋体" w:cs="宋体"/>
          <w:sz w:val="28"/>
          <w:szCs w:val="28"/>
        </w:rPr>
      </w:pPr>
    </w:p>
    <w:p w14:paraId="78C5E593">
      <w:pPr>
        <w:spacing w:line="440" w:lineRule="exact"/>
        <w:ind w:firstLine="280"/>
        <w:rPr>
          <w:rFonts w:ascii="宋体" w:hAnsi="宋体" w:cs="宋体"/>
          <w:sz w:val="28"/>
          <w:szCs w:val="28"/>
        </w:rPr>
      </w:pPr>
      <w:r>
        <w:rPr>
          <w:rFonts w:hint="eastAsia" w:ascii="宋体" w:hAnsi="宋体" w:cs="宋体"/>
          <w:sz w:val="28"/>
          <w:szCs w:val="28"/>
        </w:rPr>
        <w:t>供应商（盖公章）：</w:t>
      </w:r>
    </w:p>
    <w:p w14:paraId="48050C84">
      <w:pPr>
        <w:spacing w:line="440" w:lineRule="exact"/>
        <w:ind w:firstLine="240"/>
        <w:rPr>
          <w:rFonts w:ascii="宋体" w:hAnsi="宋体" w:cs="宋体"/>
          <w:sz w:val="24"/>
        </w:rPr>
      </w:pPr>
    </w:p>
    <w:p w14:paraId="713D0225">
      <w:pPr>
        <w:ind w:firstLine="240"/>
        <w:jc w:val="right"/>
        <w:rPr>
          <w:rFonts w:ascii="宋体" w:hAnsi="宋体" w:cs="宋体"/>
          <w:sz w:val="24"/>
        </w:rPr>
      </w:pPr>
      <w:r>
        <w:rPr>
          <w:rFonts w:hint="eastAsia" w:ascii="宋体" w:hAnsi="宋体" w:cs="宋体"/>
          <w:sz w:val="24"/>
        </w:rPr>
        <w:t>日期： 年 月 日</w:t>
      </w:r>
    </w:p>
    <w:p w14:paraId="1A1F1BAE">
      <w:pPr>
        <w:pStyle w:val="7"/>
        <w:ind w:firstLine="210"/>
        <w:rPr>
          <w:rFonts w:ascii="宋体" w:hAnsi="宋体" w:cs="宋体"/>
        </w:rPr>
      </w:pPr>
    </w:p>
    <w:p w14:paraId="4FBD8581">
      <w:pPr>
        <w:snapToGrid w:val="0"/>
        <w:spacing w:line="460" w:lineRule="exact"/>
        <w:rPr>
          <w:rFonts w:hint="eastAsia" w:ascii="宋体" w:hAnsi="宋体"/>
          <w:b/>
          <w:color w:val="FF0000"/>
          <w:sz w:val="24"/>
          <w:szCs w:val="21"/>
        </w:rPr>
      </w:pPr>
      <w:r>
        <w:rPr>
          <w:rFonts w:hint="eastAsia" w:ascii="宋体" w:hAnsi="宋体"/>
          <w:b/>
          <w:color w:val="FF0000"/>
          <w:sz w:val="24"/>
          <w:szCs w:val="21"/>
        </w:rPr>
        <w:t>注：必须按以上格式填写，不按以上格式提供的作无效标处理；以上内容有缺项或者漏项的均作无效标处理。</w:t>
      </w:r>
    </w:p>
    <w:p w14:paraId="6B1463B0">
      <w:pPr>
        <w:snapToGrid w:val="0"/>
        <w:spacing w:line="400" w:lineRule="exact"/>
        <w:ind w:firstLine="537" w:firstLineChars="192"/>
        <w:contextualSpacing/>
        <w:rPr>
          <w:rFonts w:ascii="宋体" w:hAnsi="宋体" w:cs="宋体"/>
          <w:b/>
          <w:kern w:val="0"/>
          <w:sz w:val="28"/>
          <w:szCs w:val="28"/>
        </w:rPr>
      </w:pPr>
    </w:p>
    <w:p w14:paraId="4F1BDB98">
      <w:pPr>
        <w:adjustRightInd w:val="0"/>
        <w:snapToGrid w:val="0"/>
        <w:spacing w:line="312" w:lineRule="auto"/>
        <w:ind w:firstLine="560" w:firstLineChars="200"/>
        <w:jc w:val="left"/>
        <w:rPr>
          <w:rFonts w:ascii="宋体" w:hAnsi="宋体" w:cs="宋体"/>
          <w:b/>
          <w:sz w:val="24"/>
        </w:rPr>
      </w:pPr>
      <w:r>
        <w:rPr>
          <w:rFonts w:hint="eastAsia" w:ascii="宋体" w:hAnsi="宋体" w:cs="宋体"/>
          <w:b/>
          <w:kern w:val="0"/>
          <w:sz w:val="28"/>
          <w:szCs w:val="28"/>
        </w:rPr>
        <w:t>附：代理人(被授权人)身份证正反面</w:t>
      </w:r>
      <w:r>
        <w:rPr>
          <w:rFonts w:hint="eastAsia" w:ascii="宋体" w:hAnsi="宋体" w:cs="宋体"/>
          <w:b/>
          <w:color w:val="FF0000"/>
          <w:kern w:val="0"/>
          <w:sz w:val="28"/>
          <w:szCs w:val="28"/>
          <w:highlight w:val="none"/>
          <w:lang w:val="en-US" w:eastAsia="zh-CN"/>
        </w:rPr>
        <w:t>彩色</w:t>
      </w:r>
      <w:r>
        <w:rPr>
          <w:rFonts w:hint="eastAsia" w:ascii="宋体" w:hAnsi="宋体" w:cs="宋体"/>
          <w:b/>
          <w:kern w:val="0"/>
          <w:sz w:val="28"/>
          <w:szCs w:val="28"/>
          <w:highlight w:val="none"/>
        </w:rPr>
        <w:t>复</w:t>
      </w:r>
      <w:r>
        <w:rPr>
          <w:rFonts w:hint="eastAsia" w:ascii="宋体" w:hAnsi="宋体" w:cs="宋体"/>
          <w:b/>
          <w:kern w:val="0"/>
          <w:sz w:val="28"/>
          <w:szCs w:val="28"/>
        </w:rPr>
        <w:t>印件</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盖公章）</w:t>
      </w:r>
      <w:r>
        <w:rPr>
          <w:rFonts w:hint="eastAsia" w:ascii="宋体" w:hAnsi="宋体" w:cs="宋体"/>
          <w:bCs/>
          <w:sz w:val="28"/>
          <w:szCs w:val="28"/>
        </w:rPr>
        <w:br w:type="page"/>
      </w:r>
    </w:p>
    <w:p w14:paraId="7CA9907D">
      <w:pPr>
        <w:rPr>
          <w:rFonts w:hint="eastAsia" w:ascii="宋体" w:hAnsi="宋体" w:eastAsia="宋体" w:cs="宋体"/>
          <w:sz w:val="32"/>
          <w:szCs w:val="32"/>
          <w:lang w:val="en-US" w:eastAsia="zh-CN"/>
        </w:rPr>
      </w:pPr>
      <w:r>
        <w:rPr>
          <w:rFonts w:hint="eastAsia" w:ascii="宋体" w:hAnsi="宋体" w:cs="宋体"/>
          <w:sz w:val="32"/>
          <w:szCs w:val="32"/>
        </w:rPr>
        <w:t>附件</w:t>
      </w:r>
      <w:r>
        <w:rPr>
          <w:rFonts w:hint="eastAsia" w:ascii="宋体" w:hAnsi="宋体" w:cs="宋体"/>
          <w:sz w:val="32"/>
          <w:szCs w:val="32"/>
          <w:lang w:val="en-US" w:eastAsia="zh-CN"/>
        </w:rPr>
        <w:t>4</w:t>
      </w:r>
    </w:p>
    <w:p w14:paraId="7E1B28AF">
      <w:pPr>
        <w:snapToGrid w:val="0"/>
        <w:spacing w:line="300" w:lineRule="auto"/>
        <w:ind w:firstLine="321"/>
        <w:contextualSpacing/>
        <w:jc w:val="center"/>
        <w:rPr>
          <w:rFonts w:ascii="宋体" w:hAnsi="宋体" w:cs="宋体"/>
          <w:b/>
          <w:sz w:val="32"/>
          <w:szCs w:val="32"/>
        </w:rPr>
      </w:pPr>
      <w:r>
        <w:rPr>
          <w:rFonts w:hint="eastAsia" w:ascii="宋体" w:hAnsi="宋体" w:cs="宋体"/>
          <w:b/>
          <w:sz w:val="32"/>
          <w:szCs w:val="32"/>
        </w:rPr>
        <w:t>商务部分正负偏离表</w:t>
      </w:r>
    </w:p>
    <w:p w14:paraId="00BD8A46">
      <w:pPr>
        <w:ind w:firstLine="560" w:firstLineChars="200"/>
        <w:jc w:val="center"/>
        <w:rPr>
          <w:rFonts w:ascii="宋体" w:hAnsi="宋体" w:cs="宋体"/>
          <w:sz w:val="28"/>
          <w:szCs w:val="28"/>
        </w:rPr>
      </w:pPr>
      <w:r>
        <w:rPr>
          <w:rFonts w:hint="eastAsia" w:ascii="宋体" w:hAnsi="宋体" w:cs="宋体"/>
          <w:sz w:val="28"/>
          <w:szCs w:val="28"/>
        </w:rPr>
        <w:t>（由响应供应商据实填写，表格不够自行添加）</w:t>
      </w:r>
    </w:p>
    <w:tbl>
      <w:tblPr>
        <w:tblStyle w:val="19"/>
        <w:tblW w:w="548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0"/>
        <w:gridCol w:w="2144"/>
        <w:gridCol w:w="2294"/>
        <w:gridCol w:w="2475"/>
        <w:gridCol w:w="1634"/>
      </w:tblGrid>
      <w:tr w14:paraId="0FCB41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jc w:val="center"/>
        </w:trPr>
        <w:tc>
          <w:tcPr>
            <w:tcW w:w="476" w:type="pct"/>
            <w:tcBorders>
              <w:top w:val="single" w:color="auto" w:sz="12" w:space="0"/>
              <w:left w:val="single" w:color="auto" w:sz="12" w:space="0"/>
              <w:bottom w:val="single" w:color="auto" w:sz="6" w:space="0"/>
              <w:right w:val="single" w:color="auto" w:sz="6" w:space="0"/>
            </w:tcBorders>
            <w:noWrap/>
            <w:vAlign w:val="center"/>
          </w:tcPr>
          <w:p w14:paraId="45459820">
            <w:pPr>
              <w:spacing w:line="340" w:lineRule="exact"/>
              <w:rPr>
                <w:rFonts w:ascii="宋体" w:hAnsi="宋体" w:cs="宋体"/>
                <w:sz w:val="28"/>
                <w:szCs w:val="28"/>
              </w:rPr>
            </w:pPr>
            <w:r>
              <w:rPr>
                <w:rFonts w:hint="eastAsia" w:ascii="宋体" w:hAnsi="宋体" w:cs="宋体"/>
                <w:sz w:val="28"/>
                <w:szCs w:val="28"/>
              </w:rPr>
              <w:t>序号</w:t>
            </w:r>
          </w:p>
        </w:tc>
        <w:tc>
          <w:tcPr>
            <w:tcW w:w="1134" w:type="pct"/>
            <w:tcBorders>
              <w:top w:val="single" w:color="auto" w:sz="12" w:space="0"/>
              <w:left w:val="single" w:color="auto" w:sz="6" w:space="0"/>
              <w:bottom w:val="single" w:color="auto" w:sz="6" w:space="0"/>
              <w:right w:val="single" w:color="auto" w:sz="6" w:space="0"/>
            </w:tcBorders>
            <w:noWrap/>
            <w:vAlign w:val="center"/>
          </w:tcPr>
          <w:p w14:paraId="7C84A26D">
            <w:pPr>
              <w:spacing w:line="340" w:lineRule="exact"/>
              <w:ind w:firstLine="280"/>
              <w:jc w:val="center"/>
              <w:rPr>
                <w:rFonts w:ascii="宋体" w:hAnsi="宋体" w:cs="宋体"/>
                <w:sz w:val="28"/>
                <w:szCs w:val="28"/>
              </w:rPr>
            </w:pPr>
            <w:r>
              <w:rPr>
                <w:rFonts w:hint="eastAsia" w:ascii="宋体" w:hAnsi="宋体" w:cs="宋体"/>
                <w:sz w:val="28"/>
                <w:szCs w:val="28"/>
              </w:rPr>
              <w:t>货物或服务名称</w:t>
            </w:r>
          </w:p>
        </w:tc>
        <w:tc>
          <w:tcPr>
            <w:tcW w:w="1214" w:type="pct"/>
            <w:tcBorders>
              <w:top w:val="single" w:color="auto" w:sz="12" w:space="0"/>
              <w:left w:val="single" w:color="auto" w:sz="6" w:space="0"/>
              <w:bottom w:val="single" w:color="auto" w:sz="6" w:space="0"/>
              <w:right w:val="single" w:color="auto" w:sz="6" w:space="0"/>
            </w:tcBorders>
            <w:noWrap/>
            <w:vAlign w:val="center"/>
          </w:tcPr>
          <w:p w14:paraId="45DC3138">
            <w:pPr>
              <w:spacing w:line="340" w:lineRule="exact"/>
              <w:ind w:firstLine="280"/>
              <w:jc w:val="center"/>
              <w:rPr>
                <w:rFonts w:ascii="宋体" w:hAnsi="宋体" w:cs="宋体"/>
                <w:sz w:val="28"/>
                <w:szCs w:val="28"/>
              </w:rPr>
            </w:pPr>
            <w:r>
              <w:rPr>
                <w:rFonts w:hint="eastAsia" w:ascii="宋体" w:hAnsi="宋体" w:cs="宋体"/>
                <w:sz w:val="28"/>
                <w:szCs w:val="28"/>
              </w:rPr>
              <w:t>采购文件要求的商务条款</w:t>
            </w:r>
          </w:p>
        </w:tc>
        <w:tc>
          <w:tcPr>
            <w:tcW w:w="1309" w:type="pct"/>
            <w:tcBorders>
              <w:top w:val="single" w:color="auto" w:sz="12" w:space="0"/>
              <w:left w:val="single" w:color="auto" w:sz="6" w:space="0"/>
              <w:bottom w:val="single" w:color="auto" w:sz="6" w:space="0"/>
              <w:right w:val="single" w:color="auto" w:sz="6" w:space="0"/>
            </w:tcBorders>
            <w:noWrap/>
            <w:vAlign w:val="center"/>
          </w:tcPr>
          <w:p w14:paraId="4CCCC2EE">
            <w:pPr>
              <w:spacing w:line="340" w:lineRule="exact"/>
              <w:ind w:firstLine="280"/>
              <w:jc w:val="center"/>
              <w:rPr>
                <w:rFonts w:ascii="宋体" w:hAnsi="宋体" w:cs="宋体"/>
                <w:sz w:val="28"/>
                <w:szCs w:val="28"/>
              </w:rPr>
            </w:pPr>
            <w:r>
              <w:rPr>
                <w:rFonts w:hint="eastAsia" w:ascii="宋体" w:hAnsi="宋体" w:cs="宋体"/>
                <w:sz w:val="28"/>
                <w:szCs w:val="28"/>
              </w:rPr>
              <w:t>响应文件响应情况</w:t>
            </w:r>
          </w:p>
        </w:tc>
        <w:tc>
          <w:tcPr>
            <w:tcW w:w="865" w:type="pct"/>
            <w:tcBorders>
              <w:top w:val="single" w:color="auto" w:sz="12" w:space="0"/>
              <w:left w:val="single" w:color="auto" w:sz="6" w:space="0"/>
              <w:bottom w:val="single" w:color="auto" w:sz="6" w:space="0"/>
              <w:right w:val="single" w:color="auto" w:sz="12" w:space="0"/>
            </w:tcBorders>
            <w:noWrap/>
          </w:tcPr>
          <w:p w14:paraId="4163A5FC">
            <w:pPr>
              <w:spacing w:line="340" w:lineRule="exact"/>
              <w:ind w:firstLine="280"/>
              <w:jc w:val="center"/>
              <w:rPr>
                <w:rFonts w:ascii="宋体" w:hAnsi="宋体" w:cs="宋体"/>
                <w:sz w:val="28"/>
                <w:szCs w:val="28"/>
              </w:rPr>
            </w:pPr>
          </w:p>
          <w:p w14:paraId="30BE7055">
            <w:pPr>
              <w:spacing w:line="340" w:lineRule="exact"/>
              <w:ind w:firstLine="280"/>
              <w:rPr>
                <w:rFonts w:ascii="宋体" w:hAnsi="宋体" w:cs="宋体"/>
                <w:sz w:val="28"/>
                <w:szCs w:val="28"/>
              </w:rPr>
            </w:pPr>
            <w:r>
              <w:rPr>
                <w:rFonts w:hint="eastAsia" w:ascii="宋体" w:hAnsi="宋体" w:cs="宋体"/>
                <w:sz w:val="28"/>
                <w:szCs w:val="28"/>
              </w:rPr>
              <w:t>偏离说明</w:t>
            </w:r>
          </w:p>
        </w:tc>
      </w:tr>
      <w:tr w14:paraId="001554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476" w:type="pct"/>
            <w:tcBorders>
              <w:top w:val="single" w:color="auto" w:sz="6" w:space="0"/>
              <w:left w:val="single" w:color="auto" w:sz="12" w:space="0"/>
              <w:bottom w:val="single" w:color="auto" w:sz="6" w:space="0"/>
              <w:right w:val="single" w:color="auto" w:sz="6" w:space="0"/>
            </w:tcBorders>
            <w:noWrap/>
          </w:tcPr>
          <w:p w14:paraId="7BDB6CAF">
            <w:pPr>
              <w:spacing w:line="340" w:lineRule="exact"/>
              <w:ind w:firstLine="280"/>
              <w:rPr>
                <w:rFonts w:ascii="宋体" w:hAnsi="宋体" w:cs="宋体"/>
                <w:sz w:val="28"/>
                <w:szCs w:val="28"/>
              </w:rPr>
            </w:pPr>
            <w:r>
              <w:rPr>
                <w:rFonts w:hint="eastAsia" w:ascii="宋体" w:hAnsi="宋体" w:cs="宋体"/>
                <w:sz w:val="28"/>
                <w:szCs w:val="28"/>
              </w:rPr>
              <w:t>1</w:t>
            </w:r>
          </w:p>
        </w:tc>
        <w:tc>
          <w:tcPr>
            <w:tcW w:w="1134" w:type="pct"/>
            <w:tcBorders>
              <w:top w:val="single" w:color="auto" w:sz="6" w:space="0"/>
              <w:left w:val="single" w:color="auto" w:sz="6" w:space="0"/>
              <w:bottom w:val="single" w:color="auto" w:sz="6" w:space="0"/>
              <w:right w:val="single" w:color="auto" w:sz="6" w:space="0"/>
            </w:tcBorders>
            <w:noWrap/>
            <w:vAlign w:val="center"/>
          </w:tcPr>
          <w:p w14:paraId="41430082">
            <w:pPr>
              <w:spacing w:line="340" w:lineRule="exact"/>
              <w:ind w:firstLine="280"/>
              <w:jc w:val="left"/>
              <w:rPr>
                <w:rFonts w:ascii="宋体" w:hAnsi="宋体" w:cs="宋体"/>
                <w:sz w:val="28"/>
                <w:szCs w:val="28"/>
              </w:rPr>
            </w:pPr>
          </w:p>
        </w:tc>
        <w:tc>
          <w:tcPr>
            <w:tcW w:w="1214" w:type="pct"/>
            <w:tcBorders>
              <w:top w:val="single" w:color="auto" w:sz="6" w:space="0"/>
              <w:left w:val="single" w:color="auto" w:sz="6" w:space="0"/>
              <w:bottom w:val="single" w:color="auto" w:sz="6" w:space="0"/>
              <w:right w:val="single" w:color="auto" w:sz="6" w:space="0"/>
            </w:tcBorders>
            <w:noWrap/>
            <w:vAlign w:val="center"/>
          </w:tcPr>
          <w:p w14:paraId="4E0BF3B8">
            <w:pPr>
              <w:spacing w:line="340" w:lineRule="exact"/>
              <w:ind w:firstLine="280"/>
              <w:jc w:val="left"/>
              <w:rPr>
                <w:rFonts w:ascii="宋体" w:hAnsi="宋体" w:cs="宋体"/>
                <w:sz w:val="28"/>
                <w:szCs w:val="28"/>
              </w:rPr>
            </w:pPr>
          </w:p>
        </w:tc>
        <w:tc>
          <w:tcPr>
            <w:tcW w:w="1309" w:type="pct"/>
            <w:tcBorders>
              <w:top w:val="single" w:color="auto" w:sz="6" w:space="0"/>
              <w:left w:val="single" w:color="auto" w:sz="6" w:space="0"/>
              <w:bottom w:val="single" w:color="auto" w:sz="6" w:space="0"/>
              <w:right w:val="single" w:color="auto" w:sz="6" w:space="0"/>
            </w:tcBorders>
            <w:noWrap/>
            <w:vAlign w:val="center"/>
          </w:tcPr>
          <w:p w14:paraId="70CA668B">
            <w:pPr>
              <w:spacing w:line="340" w:lineRule="exact"/>
              <w:ind w:firstLine="280"/>
              <w:jc w:val="left"/>
              <w:rPr>
                <w:rFonts w:ascii="宋体" w:hAnsi="宋体" w:cs="宋体"/>
                <w:sz w:val="28"/>
                <w:szCs w:val="28"/>
              </w:rPr>
            </w:pPr>
          </w:p>
        </w:tc>
        <w:tc>
          <w:tcPr>
            <w:tcW w:w="865" w:type="pct"/>
            <w:tcBorders>
              <w:top w:val="single" w:color="auto" w:sz="6" w:space="0"/>
              <w:left w:val="single" w:color="auto" w:sz="6" w:space="0"/>
              <w:bottom w:val="single" w:color="auto" w:sz="6" w:space="0"/>
              <w:right w:val="single" w:color="auto" w:sz="12" w:space="0"/>
            </w:tcBorders>
            <w:noWrap/>
          </w:tcPr>
          <w:p w14:paraId="1652C728">
            <w:pPr>
              <w:spacing w:line="340" w:lineRule="exact"/>
              <w:ind w:firstLine="280"/>
              <w:jc w:val="left"/>
              <w:rPr>
                <w:rFonts w:ascii="宋体" w:hAnsi="宋体" w:cs="宋体"/>
                <w:sz w:val="28"/>
                <w:szCs w:val="28"/>
              </w:rPr>
            </w:pPr>
          </w:p>
        </w:tc>
      </w:tr>
      <w:tr w14:paraId="3828F7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476" w:type="pct"/>
            <w:tcBorders>
              <w:top w:val="single" w:color="auto" w:sz="6" w:space="0"/>
              <w:left w:val="single" w:color="auto" w:sz="12" w:space="0"/>
              <w:bottom w:val="single" w:color="auto" w:sz="6" w:space="0"/>
              <w:right w:val="single" w:color="auto" w:sz="6" w:space="0"/>
            </w:tcBorders>
            <w:noWrap/>
          </w:tcPr>
          <w:p w14:paraId="1141AFE0">
            <w:pPr>
              <w:spacing w:line="340" w:lineRule="exact"/>
              <w:ind w:firstLine="280"/>
              <w:rPr>
                <w:rFonts w:ascii="宋体" w:hAnsi="宋体" w:cs="宋体"/>
                <w:sz w:val="28"/>
                <w:szCs w:val="28"/>
              </w:rPr>
            </w:pPr>
            <w:r>
              <w:rPr>
                <w:rFonts w:hint="eastAsia" w:ascii="宋体" w:hAnsi="宋体" w:cs="宋体"/>
                <w:sz w:val="28"/>
                <w:szCs w:val="28"/>
              </w:rPr>
              <w:t>2</w:t>
            </w:r>
          </w:p>
        </w:tc>
        <w:tc>
          <w:tcPr>
            <w:tcW w:w="1134" w:type="pct"/>
            <w:tcBorders>
              <w:top w:val="single" w:color="auto" w:sz="6" w:space="0"/>
              <w:left w:val="single" w:color="auto" w:sz="6" w:space="0"/>
              <w:bottom w:val="single" w:color="auto" w:sz="6" w:space="0"/>
              <w:right w:val="single" w:color="auto" w:sz="6" w:space="0"/>
            </w:tcBorders>
            <w:noWrap/>
            <w:vAlign w:val="center"/>
          </w:tcPr>
          <w:p w14:paraId="1C35678A">
            <w:pPr>
              <w:spacing w:line="340" w:lineRule="exact"/>
              <w:ind w:firstLine="280"/>
              <w:jc w:val="left"/>
              <w:rPr>
                <w:rFonts w:ascii="宋体" w:hAnsi="宋体" w:cs="宋体"/>
                <w:sz w:val="28"/>
                <w:szCs w:val="28"/>
              </w:rPr>
            </w:pPr>
          </w:p>
        </w:tc>
        <w:tc>
          <w:tcPr>
            <w:tcW w:w="1214" w:type="pct"/>
            <w:tcBorders>
              <w:top w:val="single" w:color="auto" w:sz="6" w:space="0"/>
              <w:left w:val="single" w:color="auto" w:sz="6" w:space="0"/>
              <w:bottom w:val="single" w:color="auto" w:sz="6" w:space="0"/>
              <w:right w:val="single" w:color="auto" w:sz="6" w:space="0"/>
            </w:tcBorders>
            <w:noWrap/>
            <w:vAlign w:val="center"/>
          </w:tcPr>
          <w:p w14:paraId="74E0259E">
            <w:pPr>
              <w:spacing w:line="340" w:lineRule="exact"/>
              <w:ind w:firstLine="280"/>
              <w:jc w:val="left"/>
              <w:rPr>
                <w:rFonts w:ascii="宋体" w:hAnsi="宋体" w:cs="宋体"/>
                <w:sz w:val="28"/>
                <w:szCs w:val="28"/>
              </w:rPr>
            </w:pPr>
          </w:p>
        </w:tc>
        <w:tc>
          <w:tcPr>
            <w:tcW w:w="1309" w:type="pct"/>
            <w:tcBorders>
              <w:top w:val="single" w:color="auto" w:sz="6" w:space="0"/>
              <w:left w:val="single" w:color="auto" w:sz="6" w:space="0"/>
              <w:bottom w:val="single" w:color="auto" w:sz="6" w:space="0"/>
              <w:right w:val="single" w:color="auto" w:sz="6" w:space="0"/>
            </w:tcBorders>
            <w:noWrap/>
            <w:vAlign w:val="center"/>
          </w:tcPr>
          <w:p w14:paraId="7312E4CC">
            <w:pPr>
              <w:spacing w:line="340" w:lineRule="exact"/>
              <w:ind w:firstLine="280"/>
              <w:jc w:val="left"/>
              <w:rPr>
                <w:rFonts w:ascii="宋体" w:hAnsi="宋体" w:cs="宋体"/>
                <w:sz w:val="28"/>
                <w:szCs w:val="28"/>
              </w:rPr>
            </w:pPr>
          </w:p>
        </w:tc>
        <w:tc>
          <w:tcPr>
            <w:tcW w:w="865" w:type="pct"/>
            <w:tcBorders>
              <w:top w:val="single" w:color="auto" w:sz="6" w:space="0"/>
              <w:left w:val="single" w:color="auto" w:sz="6" w:space="0"/>
              <w:bottom w:val="single" w:color="auto" w:sz="6" w:space="0"/>
              <w:right w:val="single" w:color="auto" w:sz="12" w:space="0"/>
            </w:tcBorders>
            <w:noWrap/>
          </w:tcPr>
          <w:p w14:paraId="557EC56D">
            <w:pPr>
              <w:spacing w:line="340" w:lineRule="exact"/>
              <w:ind w:firstLine="280"/>
              <w:jc w:val="left"/>
              <w:rPr>
                <w:rFonts w:ascii="宋体" w:hAnsi="宋体" w:cs="宋体"/>
                <w:sz w:val="28"/>
                <w:szCs w:val="28"/>
              </w:rPr>
            </w:pPr>
          </w:p>
        </w:tc>
      </w:tr>
      <w:tr w14:paraId="06FA8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476" w:type="pct"/>
            <w:tcBorders>
              <w:top w:val="single" w:color="auto" w:sz="6" w:space="0"/>
              <w:left w:val="single" w:color="auto" w:sz="12" w:space="0"/>
              <w:bottom w:val="single" w:color="auto" w:sz="6" w:space="0"/>
              <w:right w:val="single" w:color="auto" w:sz="6" w:space="0"/>
            </w:tcBorders>
            <w:noWrap/>
          </w:tcPr>
          <w:p w14:paraId="4A8EADDF">
            <w:pPr>
              <w:spacing w:line="340" w:lineRule="exact"/>
              <w:ind w:firstLine="280"/>
              <w:rPr>
                <w:rFonts w:ascii="宋体" w:hAnsi="宋体" w:cs="宋体"/>
                <w:sz w:val="28"/>
                <w:szCs w:val="28"/>
              </w:rPr>
            </w:pPr>
            <w:r>
              <w:rPr>
                <w:rFonts w:hint="eastAsia" w:ascii="宋体" w:hAnsi="宋体" w:cs="宋体"/>
                <w:sz w:val="28"/>
                <w:szCs w:val="28"/>
              </w:rPr>
              <w:t>3</w:t>
            </w:r>
          </w:p>
        </w:tc>
        <w:tc>
          <w:tcPr>
            <w:tcW w:w="1134" w:type="pct"/>
            <w:tcBorders>
              <w:top w:val="single" w:color="auto" w:sz="6" w:space="0"/>
              <w:left w:val="single" w:color="auto" w:sz="6" w:space="0"/>
              <w:bottom w:val="single" w:color="auto" w:sz="6" w:space="0"/>
              <w:right w:val="single" w:color="auto" w:sz="6" w:space="0"/>
            </w:tcBorders>
            <w:noWrap/>
            <w:vAlign w:val="center"/>
          </w:tcPr>
          <w:p w14:paraId="76FA2D29">
            <w:pPr>
              <w:spacing w:line="340" w:lineRule="exact"/>
              <w:ind w:firstLine="280"/>
              <w:jc w:val="left"/>
              <w:rPr>
                <w:rFonts w:ascii="宋体" w:hAnsi="宋体" w:cs="宋体"/>
                <w:sz w:val="28"/>
                <w:szCs w:val="28"/>
              </w:rPr>
            </w:pPr>
          </w:p>
        </w:tc>
        <w:tc>
          <w:tcPr>
            <w:tcW w:w="1214" w:type="pct"/>
            <w:tcBorders>
              <w:top w:val="single" w:color="auto" w:sz="6" w:space="0"/>
              <w:left w:val="single" w:color="auto" w:sz="6" w:space="0"/>
              <w:bottom w:val="single" w:color="auto" w:sz="6" w:space="0"/>
              <w:right w:val="single" w:color="auto" w:sz="6" w:space="0"/>
            </w:tcBorders>
            <w:noWrap/>
            <w:vAlign w:val="center"/>
          </w:tcPr>
          <w:p w14:paraId="090CCFCC">
            <w:pPr>
              <w:spacing w:line="340" w:lineRule="exact"/>
              <w:ind w:firstLine="280"/>
              <w:jc w:val="left"/>
              <w:rPr>
                <w:rFonts w:ascii="宋体" w:hAnsi="宋体" w:cs="宋体"/>
                <w:sz w:val="28"/>
                <w:szCs w:val="28"/>
              </w:rPr>
            </w:pPr>
          </w:p>
        </w:tc>
        <w:tc>
          <w:tcPr>
            <w:tcW w:w="1309" w:type="pct"/>
            <w:tcBorders>
              <w:top w:val="single" w:color="auto" w:sz="6" w:space="0"/>
              <w:left w:val="single" w:color="auto" w:sz="6" w:space="0"/>
              <w:bottom w:val="single" w:color="auto" w:sz="6" w:space="0"/>
              <w:right w:val="single" w:color="auto" w:sz="6" w:space="0"/>
            </w:tcBorders>
            <w:noWrap/>
            <w:vAlign w:val="center"/>
          </w:tcPr>
          <w:p w14:paraId="0DBC4309">
            <w:pPr>
              <w:spacing w:line="340" w:lineRule="exact"/>
              <w:ind w:firstLine="280"/>
              <w:jc w:val="left"/>
              <w:rPr>
                <w:rFonts w:ascii="宋体" w:hAnsi="宋体" w:cs="宋体"/>
                <w:sz w:val="28"/>
                <w:szCs w:val="28"/>
              </w:rPr>
            </w:pPr>
          </w:p>
        </w:tc>
        <w:tc>
          <w:tcPr>
            <w:tcW w:w="865" w:type="pct"/>
            <w:tcBorders>
              <w:top w:val="single" w:color="auto" w:sz="6" w:space="0"/>
              <w:left w:val="single" w:color="auto" w:sz="6" w:space="0"/>
              <w:bottom w:val="single" w:color="auto" w:sz="6" w:space="0"/>
              <w:right w:val="single" w:color="auto" w:sz="12" w:space="0"/>
            </w:tcBorders>
            <w:noWrap/>
          </w:tcPr>
          <w:p w14:paraId="77928A0C">
            <w:pPr>
              <w:spacing w:line="340" w:lineRule="exact"/>
              <w:ind w:firstLine="280"/>
              <w:jc w:val="left"/>
              <w:rPr>
                <w:rFonts w:ascii="宋体" w:hAnsi="宋体" w:cs="宋体"/>
                <w:sz w:val="28"/>
                <w:szCs w:val="28"/>
              </w:rPr>
            </w:pPr>
          </w:p>
        </w:tc>
      </w:tr>
      <w:tr w14:paraId="455D6D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476" w:type="pct"/>
            <w:tcBorders>
              <w:top w:val="single" w:color="auto" w:sz="6" w:space="0"/>
              <w:left w:val="single" w:color="auto" w:sz="12" w:space="0"/>
              <w:bottom w:val="single" w:color="auto" w:sz="6" w:space="0"/>
              <w:right w:val="single" w:color="auto" w:sz="6" w:space="0"/>
            </w:tcBorders>
            <w:noWrap/>
          </w:tcPr>
          <w:p w14:paraId="7E8B5319">
            <w:pPr>
              <w:spacing w:line="340" w:lineRule="exact"/>
              <w:ind w:firstLine="280"/>
              <w:rPr>
                <w:rFonts w:ascii="宋体" w:hAnsi="宋体" w:cs="宋体"/>
                <w:sz w:val="28"/>
                <w:szCs w:val="28"/>
              </w:rPr>
            </w:pPr>
            <w:r>
              <w:rPr>
                <w:rFonts w:hint="eastAsia" w:ascii="宋体" w:hAnsi="宋体" w:cs="宋体"/>
                <w:sz w:val="28"/>
                <w:szCs w:val="28"/>
              </w:rPr>
              <w:t>4</w:t>
            </w:r>
          </w:p>
        </w:tc>
        <w:tc>
          <w:tcPr>
            <w:tcW w:w="1134" w:type="pct"/>
            <w:tcBorders>
              <w:top w:val="single" w:color="auto" w:sz="6" w:space="0"/>
              <w:left w:val="single" w:color="auto" w:sz="6" w:space="0"/>
              <w:bottom w:val="single" w:color="auto" w:sz="6" w:space="0"/>
              <w:right w:val="single" w:color="auto" w:sz="6" w:space="0"/>
            </w:tcBorders>
            <w:noWrap/>
            <w:vAlign w:val="center"/>
          </w:tcPr>
          <w:p w14:paraId="7A7A523E">
            <w:pPr>
              <w:spacing w:line="340" w:lineRule="exact"/>
              <w:ind w:firstLine="280"/>
              <w:jc w:val="left"/>
              <w:rPr>
                <w:rFonts w:ascii="宋体" w:hAnsi="宋体" w:cs="宋体"/>
                <w:sz w:val="28"/>
                <w:szCs w:val="28"/>
              </w:rPr>
            </w:pPr>
          </w:p>
        </w:tc>
        <w:tc>
          <w:tcPr>
            <w:tcW w:w="1214" w:type="pct"/>
            <w:tcBorders>
              <w:top w:val="single" w:color="auto" w:sz="6" w:space="0"/>
              <w:left w:val="single" w:color="auto" w:sz="6" w:space="0"/>
              <w:bottom w:val="single" w:color="auto" w:sz="6" w:space="0"/>
              <w:right w:val="single" w:color="auto" w:sz="6" w:space="0"/>
            </w:tcBorders>
            <w:noWrap/>
            <w:vAlign w:val="center"/>
          </w:tcPr>
          <w:p w14:paraId="6753B1CD">
            <w:pPr>
              <w:spacing w:line="340" w:lineRule="exact"/>
              <w:ind w:firstLine="280"/>
              <w:jc w:val="left"/>
              <w:rPr>
                <w:rFonts w:ascii="宋体" w:hAnsi="宋体" w:cs="宋体"/>
                <w:sz w:val="28"/>
                <w:szCs w:val="28"/>
              </w:rPr>
            </w:pPr>
          </w:p>
        </w:tc>
        <w:tc>
          <w:tcPr>
            <w:tcW w:w="1309" w:type="pct"/>
            <w:tcBorders>
              <w:top w:val="single" w:color="auto" w:sz="6" w:space="0"/>
              <w:left w:val="single" w:color="auto" w:sz="6" w:space="0"/>
              <w:bottom w:val="single" w:color="auto" w:sz="6" w:space="0"/>
              <w:right w:val="single" w:color="auto" w:sz="6" w:space="0"/>
            </w:tcBorders>
            <w:noWrap/>
            <w:vAlign w:val="center"/>
          </w:tcPr>
          <w:p w14:paraId="5027130C">
            <w:pPr>
              <w:spacing w:line="340" w:lineRule="exact"/>
              <w:ind w:firstLine="280"/>
              <w:jc w:val="left"/>
              <w:rPr>
                <w:rFonts w:ascii="宋体" w:hAnsi="宋体" w:cs="宋体"/>
                <w:sz w:val="28"/>
                <w:szCs w:val="28"/>
              </w:rPr>
            </w:pPr>
          </w:p>
        </w:tc>
        <w:tc>
          <w:tcPr>
            <w:tcW w:w="865" w:type="pct"/>
            <w:tcBorders>
              <w:top w:val="single" w:color="auto" w:sz="6" w:space="0"/>
              <w:left w:val="single" w:color="auto" w:sz="6" w:space="0"/>
              <w:bottom w:val="single" w:color="auto" w:sz="6" w:space="0"/>
              <w:right w:val="single" w:color="auto" w:sz="12" w:space="0"/>
            </w:tcBorders>
            <w:noWrap/>
          </w:tcPr>
          <w:p w14:paraId="4C2AAA83">
            <w:pPr>
              <w:spacing w:line="340" w:lineRule="exact"/>
              <w:ind w:firstLine="280"/>
              <w:jc w:val="left"/>
              <w:rPr>
                <w:rFonts w:ascii="宋体" w:hAnsi="宋体" w:cs="宋体"/>
                <w:sz w:val="28"/>
                <w:szCs w:val="28"/>
              </w:rPr>
            </w:pPr>
          </w:p>
        </w:tc>
      </w:tr>
    </w:tbl>
    <w:p w14:paraId="1A8958FA">
      <w:pPr>
        <w:snapToGrid w:val="0"/>
        <w:spacing w:line="300" w:lineRule="auto"/>
        <w:ind w:firstLine="281"/>
        <w:contextualSpacing/>
        <w:rPr>
          <w:rFonts w:ascii="宋体" w:hAnsi="宋体" w:cs="宋体"/>
          <w:b/>
          <w:sz w:val="28"/>
          <w:szCs w:val="28"/>
        </w:rPr>
      </w:pPr>
      <w:r>
        <w:rPr>
          <w:rFonts w:hint="eastAsia" w:ascii="宋体" w:hAnsi="宋体" w:cs="宋体"/>
          <w:b/>
          <w:sz w:val="28"/>
          <w:szCs w:val="28"/>
        </w:rPr>
        <w:t>注：</w:t>
      </w:r>
    </w:p>
    <w:p w14:paraId="5F141E1A">
      <w:pPr>
        <w:snapToGrid w:val="0"/>
        <w:spacing w:line="300" w:lineRule="auto"/>
        <w:ind w:firstLine="560" w:firstLineChars="200"/>
        <w:contextualSpacing/>
        <w:rPr>
          <w:rFonts w:ascii="宋体" w:hAnsi="宋体" w:cs="宋体"/>
          <w:sz w:val="28"/>
          <w:szCs w:val="28"/>
        </w:rPr>
      </w:pPr>
      <w:r>
        <w:rPr>
          <w:rFonts w:hint="eastAsia" w:ascii="宋体" w:hAnsi="宋体" w:cs="宋体"/>
          <w:sz w:val="28"/>
          <w:szCs w:val="28"/>
        </w:rPr>
        <w:t>1.如响应供应商提交的响应文件与采购文件第三部分“项目需求”中的商务部分的要求有偏离的，应逐条填列在偏离表中。未填写的内容视为完全响应本采购文件要求。</w:t>
      </w:r>
    </w:p>
    <w:p w14:paraId="6145281E">
      <w:pPr>
        <w:snapToGrid w:val="0"/>
        <w:spacing w:line="300" w:lineRule="auto"/>
        <w:ind w:firstLine="560" w:firstLineChars="200"/>
        <w:contextualSpacing/>
        <w:rPr>
          <w:rFonts w:ascii="宋体" w:hAnsi="宋体" w:cs="宋体"/>
          <w:sz w:val="28"/>
          <w:szCs w:val="28"/>
        </w:rPr>
      </w:pPr>
      <w:r>
        <w:rPr>
          <w:rFonts w:hint="eastAsia" w:ascii="宋体" w:hAnsi="宋体" w:cs="宋体"/>
          <w:sz w:val="28"/>
          <w:szCs w:val="28"/>
        </w:rPr>
        <w:t>2.“偏离说明”一栏选择“正偏离”、“负偏离”、“无偏离”进行填写。正偏离的确认和负偏离的是否响应采购文件，由询价小组认定。</w:t>
      </w:r>
    </w:p>
    <w:p w14:paraId="7C868513">
      <w:pPr>
        <w:snapToGrid w:val="0"/>
        <w:spacing w:line="300" w:lineRule="auto"/>
        <w:ind w:firstLine="560" w:firstLineChars="200"/>
        <w:contextualSpacing/>
        <w:rPr>
          <w:rFonts w:ascii="宋体" w:hAnsi="宋体" w:cs="宋体"/>
          <w:bCs/>
          <w:sz w:val="28"/>
          <w:szCs w:val="28"/>
        </w:rPr>
      </w:pPr>
      <w:r>
        <w:rPr>
          <w:rFonts w:hint="eastAsia" w:ascii="宋体" w:hAnsi="宋体" w:cs="宋体"/>
          <w:bCs/>
          <w:sz w:val="28"/>
          <w:szCs w:val="28"/>
        </w:rPr>
        <w:t>3.供应商若提供其他增值服务，可以在表中自行据实填写。</w:t>
      </w:r>
    </w:p>
    <w:p w14:paraId="498E162A">
      <w:pPr>
        <w:snapToGrid w:val="0"/>
        <w:spacing w:line="400" w:lineRule="exact"/>
        <w:ind w:firstLine="537" w:firstLineChars="192"/>
        <w:contextualSpacing/>
        <w:rPr>
          <w:rFonts w:ascii="宋体" w:hAnsi="宋体" w:cs="宋体"/>
          <w:b/>
          <w:kern w:val="0"/>
          <w:sz w:val="28"/>
          <w:szCs w:val="28"/>
        </w:rPr>
      </w:pPr>
    </w:p>
    <w:p w14:paraId="0498B122">
      <w:pPr>
        <w:spacing w:line="312" w:lineRule="auto"/>
        <w:ind w:firstLine="803" w:firstLineChars="287"/>
        <w:rPr>
          <w:rFonts w:ascii="宋体" w:hAnsi="宋体" w:cs="宋体"/>
          <w:b/>
          <w:sz w:val="28"/>
          <w:szCs w:val="28"/>
        </w:rPr>
      </w:pPr>
    </w:p>
    <w:p w14:paraId="7089FD39">
      <w:pPr>
        <w:spacing w:line="312" w:lineRule="auto"/>
        <w:ind w:firstLine="1960" w:firstLineChars="700"/>
        <w:rPr>
          <w:rFonts w:ascii="宋体" w:hAnsi="宋体" w:cs="宋体"/>
          <w:sz w:val="28"/>
          <w:szCs w:val="28"/>
          <w:u w:val="single"/>
        </w:rPr>
      </w:pPr>
      <w:r>
        <w:rPr>
          <w:rFonts w:hint="eastAsia" w:ascii="宋体" w:hAnsi="宋体" w:cs="宋体"/>
          <w:sz w:val="28"/>
          <w:szCs w:val="28"/>
        </w:rPr>
        <w:t>响应供应商全称（盖公章）：</w:t>
      </w:r>
    </w:p>
    <w:p w14:paraId="62672E55">
      <w:pPr>
        <w:spacing w:line="312" w:lineRule="auto"/>
        <w:ind w:firstLine="1960" w:firstLineChars="700"/>
        <w:rPr>
          <w:rFonts w:ascii="宋体" w:hAnsi="宋体" w:cs="宋体"/>
          <w:sz w:val="28"/>
          <w:szCs w:val="28"/>
        </w:rPr>
      </w:pPr>
      <w:r>
        <w:rPr>
          <w:rFonts w:hint="eastAsia" w:ascii="宋体" w:hAnsi="宋体" w:cs="宋体"/>
          <w:sz w:val="28"/>
          <w:szCs w:val="28"/>
        </w:rPr>
        <w:t>法定代表人（签字或盖章）：</w:t>
      </w:r>
    </w:p>
    <w:p w14:paraId="773A6DD8">
      <w:pPr>
        <w:spacing w:line="312" w:lineRule="auto"/>
        <w:ind w:firstLine="1960" w:firstLineChars="700"/>
        <w:rPr>
          <w:rFonts w:ascii="宋体" w:hAnsi="宋体" w:cs="宋体"/>
          <w:sz w:val="28"/>
          <w:szCs w:val="28"/>
        </w:rPr>
      </w:pPr>
      <w:r>
        <w:rPr>
          <w:rFonts w:hint="eastAsia" w:ascii="宋体" w:hAnsi="宋体" w:cs="宋体"/>
          <w:sz w:val="28"/>
          <w:szCs w:val="28"/>
        </w:rPr>
        <w:t>日期： 年 月 日</w:t>
      </w:r>
    </w:p>
    <w:p w14:paraId="0312BFFC">
      <w:pPr>
        <w:widowControl/>
        <w:spacing w:line="312" w:lineRule="auto"/>
        <w:ind w:firstLine="241"/>
        <w:jc w:val="left"/>
        <w:rPr>
          <w:rFonts w:ascii="宋体" w:hAnsi="宋体" w:cs="宋体"/>
          <w:b/>
          <w:bCs/>
          <w:sz w:val="32"/>
          <w:szCs w:val="32"/>
        </w:rPr>
      </w:pPr>
      <w:r>
        <w:rPr>
          <w:rFonts w:hint="eastAsia" w:ascii="宋体" w:hAnsi="宋体" w:cs="宋体"/>
          <w:b/>
          <w:sz w:val="24"/>
        </w:rPr>
        <w:br w:type="page"/>
      </w:r>
    </w:p>
    <w:p w14:paraId="63C146AF">
      <w:pPr>
        <w:widowControl/>
        <w:spacing w:line="312" w:lineRule="auto"/>
        <w:jc w:val="left"/>
        <w:rPr>
          <w:rFonts w:hint="eastAsia" w:ascii="宋体" w:hAnsi="宋体" w:eastAsia="宋体" w:cs="宋体"/>
          <w:sz w:val="24"/>
          <w:lang w:val="en-US" w:eastAsia="zh-CN"/>
        </w:rPr>
      </w:pPr>
      <w:r>
        <w:rPr>
          <w:rFonts w:hint="eastAsia" w:ascii="宋体" w:hAnsi="宋体" w:cs="宋体"/>
          <w:sz w:val="32"/>
          <w:szCs w:val="32"/>
        </w:rPr>
        <w:t>附件</w:t>
      </w:r>
      <w:r>
        <w:rPr>
          <w:rFonts w:hint="eastAsia" w:ascii="宋体" w:hAnsi="宋体" w:cs="宋体"/>
          <w:sz w:val="32"/>
          <w:szCs w:val="32"/>
          <w:lang w:val="en-US" w:eastAsia="zh-CN"/>
        </w:rPr>
        <w:t>5</w:t>
      </w:r>
    </w:p>
    <w:p w14:paraId="18F78054">
      <w:pPr>
        <w:snapToGrid w:val="0"/>
        <w:spacing w:line="300" w:lineRule="auto"/>
        <w:ind w:firstLine="321"/>
        <w:contextualSpacing/>
        <w:jc w:val="center"/>
        <w:rPr>
          <w:rFonts w:ascii="宋体" w:hAnsi="宋体" w:cs="宋体"/>
          <w:b/>
          <w:sz w:val="32"/>
          <w:szCs w:val="32"/>
        </w:rPr>
      </w:pPr>
      <w:r>
        <w:rPr>
          <w:rFonts w:hint="eastAsia" w:ascii="宋体" w:hAnsi="宋体" w:cs="宋体"/>
          <w:b/>
          <w:sz w:val="32"/>
          <w:szCs w:val="32"/>
        </w:rPr>
        <w:t>技术部分正负偏离表</w:t>
      </w:r>
    </w:p>
    <w:p w14:paraId="48B9E6CD">
      <w:pPr>
        <w:ind w:firstLine="560" w:firstLineChars="200"/>
        <w:jc w:val="center"/>
        <w:rPr>
          <w:rFonts w:ascii="宋体" w:hAnsi="宋体" w:cs="宋体"/>
          <w:sz w:val="28"/>
          <w:szCs w:val="28"/>
        </w:rPr>
      </w:pPr>
      <w:r>
        <w:rPr>
          <w:rFonts w:hint="eastAsia" w:ascii="宋体" w:hAnsi="宋体" w:cs="宋体"/>
          <w:sz w:val="28"/>
          <w:szCs w:val="28"/>
        </w:rPr>
        <w:t>（由响应供应商据实填写，表格不够自行添加）</w:t>
      </w:r>
    </w:p>
    <w:tbl>
      <w:tblPr>
        <w:tblStyle w:val="19"/>
        <w:tblW w:w="558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2"/>
        <w:gridCol w:w="2039"/>
        <w:gridCol w:w="2385"/>
        <w:gridCol w:w="2521"/>
        <w:gridCol w:w="1783"/>
      </w:tblGrid>
      <w:tr w14:paraId="596EA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jc w:val="center"/>
        </w:trPr>
        <w:tc>
          <w:tcPr>
            <w:tcW w:w="468" w:type="pct"/>
            <w:tcBorders>
              <w:top w:val="single" w:color="auto" w:sz="12" w:space="0"/>
              <w:left w:val="single" w:color="auto" w:sz="12" w:space="0"/>
              <w:bottom w:val="single" w:color="auto" w:sz="6" w:space="0"/>
              <w:right w:val="single" w:color="auto" w:sz="6" w:space="0"/>
            </w:tcBorders>
            <w:noWrap/>
            <w:vAlign w:val="center"/>
          </w:tcPr>
          <w:p w14:paraId="76FDE49E">
            <w:pPr>
              <w:spacing w:line="340" w:lineRule="exact"/>
              <w:rPr>
                <w:rFonts w:ascii="宋体" w:hAnsi="宋体" w:cs="宋体"/>
                <w:sz w:val="28"/>
                <w:szCs w:val="28"/>
              </w:rPr>
            </w:pPr>
            <w:r>
              <w:rPr>
                <w:rFonts w:hint="eastAsia" w:ascii="宋体" w:hAnsi="宋体" w:cs="宋体"/>
                <w:sz w:val="28"/>
                <w:szCs w:val="28"/>
              </w:rPr>
              <w:t>序号</w:t>
            </w:r>
          </w:p>
        </w:tc>
        <w:tc>
          <w:tcPr>
            <w:tcW w:w="1058" w:type="pct"/>
            <w:tcBorders>
              <w:top w:val="single" w:color="auto" w:sz="12" w:space="0"/>
              <w:left w:val="single" w:color="auto" w:sz="6" w:space="0"/>
              <w:bottom w:val="single" w:color="auto" w:sz="6" w:space="0"/>
              <w:right w:val="single" w:color="auto" w:sz="6" w:space="0"/>
            </w:tcBorders>
            <w:noWrap/>
            <w:vAlign w:val="center"/>
          </w:tcPr>
          <w:p w14:paraId="03D695CC">
            <w:pPr>
              <w:spacing w:line="340" w:lineRule="exact"/>
              <w:ind w:firstLine="280"/>
              <w:jc w:val="center"/>
              <w:rPr>
                <w:rFonts w:ascii="宋体" w:hAnsi="宋体" w:cs="宋体"/>
                <w:sz w:val="28"/>
                <w:szCs w:val="28"/>
              </w:rPr>
            </w:pPr>
            <w:r>
              <w:rPr>
                <w:rFonts w:hint="eastAsia" w:ascii="宋体" w:hAnsi="宋体" w:cs="宋体"/>
                <w:sz w:val="28"/>
                <w:szCs w:val="28"/>
              </w:rPr>
              <w:t>货物或服务名称</w:t>
            </w:r>
          </w:p>
        </w:tc>
        <w:tc>
          <w:tcPr>
            <w:tcW w:w="1238" w:type="pct"/>
            <w:tcBorders>
              <w:top w:val="single" w:color="auto" w:sz="12" w:space="0"/>
              <w:left w:val="single" w:color="auto" w:sz="6" w:space="0"/>
              <w:bottom w:val="single" w:color="auto" w:sz="6" w:space="0"/>
              <w:right w:val="single" w:color="auto" w:sz="6" w:space="0"/>
            </w:tcBorders>
            <w:noWrap/>
            <w:vAlign w:val="center"/>
          </w:tcPr>
          <w:p w14:paraId="219958A9">
            <w:pPr>
              <w:spacing w:line="340" w:lineRule="exact"/>
              <w:ind w:firstLine="280"/>
              <w:jc w:val="center"/>
              <w:rPr>
                <w:rFonts w:ascii="宋体" w:hAnsi="宋体" w:cs="宋体"/>
                <w:sz w:val="28"/>
                <w:szCs w:val="28"/>
              </w:rPr>
            </w:pPr>
            <w:r>
              <w:rPr>
                <w:rFonts w:hint="eastAsia" w:ascii="宋体" w:hAnsi="宋体" w:cs="宋体"/>
                <w:sz w:val="28"/>
                <w:szCs w:val="28"/>
              </w:rPr>
              <w:t>采购文件要求的技术要求</w:t>
            </w:r>
          </w:p>
        </w:tc>
        <w:tc>
          <w:tcPr>
            <w:tcW w:w="1308" w:type="pct"/>
            <w:tcBorders>
              <w:top w:val="single" w:color="auto" w:sz="12" w:space="0"/>
              <w:left w:val="single" w:color="auto" w:sz="6" w:space="0"/>
              <w:bottom w:val="single" w:color="auto" w:sz="6" w:space="0"/>
              <w:right w:val="single" w:color="auto" w:sz="6" w:space="0"/>
            </w:tcBorders>
            <w:noWrap/>
            <w:vAlign w:val="center"/>
          </w:tcPr>
          <w:p w14:paraId="50B753BE">
            <w:pPr>
              <w:spacing w:line="340" w:lineRule="exact"/>
              <w:ind w:firstLine="280"/>
              <w:jc w:val="center"/>
              <w:rPr>
                <w:rFonts w:ascii="宋体" w:hAnsi="宋体" w:cs="宋体"/>
                <w:sz w:val="28"/>
                <w:szCs w:val="28"/>
              </w:rPr>
            </w:pPr>
            <w:r>
              <w:rPr>
                <w:rFonts w:hint="eastAsia" w:ascii="宋体" w:hAnsi="宋体" w:cs="宋体"/>
                <w:sz w:val="28"/>
                <w:szCs w:val="28"/>
              </w:rPr>
              <w:t>响应文件响应情况</w:t>
            </w:r>
          </w:p>
        </w:tc>
        <w:tc>
          <w:tcPr>
            <w:tcW w:w="926" w:type="pct"/>
            <w:tcBorders>
              <w:top w:val="single" w:color="auto" w:sz="12" w:space="0"/>
              <w:left w:val="single" w:color="auto" w:sz="6" w:space="0"/>
              <w:bottom w:val="single" w:color="auto" w:sz="6" w:space="0"/>
              <w:right w:val="single" w:color="auto" w:sz="12" w:space="0"/>
            </w:tcBorders>
            <w:noWrap/>
          </w:tcPr>
          <w:p w14:paraId="66DD801E">
            <w:pPr>
              <w:spacing w:line="340" w:lineRule="exact"/>
              <w:ind w:firstLine="280"/>
              <w:jc w:val="center"/>
              <w:rPr>
                <w:rFonts w:ascii="宋体" w:hAnsi="宋体" w:cs="宋体"/>
                <w:sz w:val="28"/>
                <w:szCs w:val="28"/>
              </w:rPr>
            </w:pPr>
          </w:p>
          <w:p w14:paraId="3FAA3197">
            <w:pPr>
              <w:spacing w:line="340" w:lineRule="exact"/>
              <w:ind w:firstLine="280"/>
              <w:rPr>
                <w:rFonts w:ascii="宋体" w:hAnsi="宋体" w:cs="宋体"/>
                <w:sz w:val="28"/>
                <w:szCs w:val="28"/>
              </w:rPr>
            </w:pPr>
            <w:r>
              <w:rPr>
                <w:rFonts w:hint="eastAsia" w:ascii="宋体" w:hAnsi="宋体" w:cs="宋体"/>
                <w:sz w:val="28"/>
                <w:szCs w:val="28"/>
              </w:rPr>
              <w:t>偏离说明</w:t>
            </w:r>
          </w:p>
        </w:tc>
      </w:tr>
      <w:tr w14:paraId="29B9D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468" w:type="pct"/>
            <w:tcBorders>
              <w:top w:val="single" w:color="auto" w:sz="6" w:space="0"/>
              <w:left w:val="single" w:color="auto" w:sz="12" w:space="0"/>
              <w:bottom w:val="single" w:color="auto" w:sz="6" w:space="0"/>
              <w:right w:val="single" w:color="auto" w:sz="6" w:space="0"/>
            </w:tcBorders>
            <w:noWrap/>
          </w:tcPr>
          <w:p w14:paraId="0D42C3B0">
            <w:pPr>
              <w:spacing w:line="340" w:lineRule="exact"/>
              <w:ind w:firstLine="280"/>
              <w:rPr>
                <w:rFonts w:ascii="宋体" w:hAnsi="宋体" w:cs="宋体"/>
                <w:sz w:val="28"/>
                <w:szCs w:val="28"/>
              </w:rPr>
            </w:pPr>
            <w:r>
              <w:rPr>
                <w:rFonts w:hint="eastAsia" w:ascii="宋体" w:hAnsi="宋体" w:cs="宋体"/>
                <w:sz w:val="28"/>
                <w:szCs w:val="28"/>
              </w:rPr>
              <w:t>1</w:t>
            </w:r>
          </w:p>
        </w:tc>
        <w:tc>
          <w:tcPr>
            <w:tcW w:w="1058" w:type="pct"/>
            <w:tcBorders>
              <w:top w:val="single" w:color="auto" w:sz="6" w:space="0"/>
              <w:left w:val="single" w:color="auto" w:sz="6" w:space="0"/>
              <w:bottom w:val="single" w:color="auto" w:sz="6" w:space="0"/>
              <w:right w:val="single" w:color="auto" w:sz="6" w:space="0"/>
            </w:tcBorders>
            <w:noWrap/>
            <w:vAlign w:val="center"/>
          </w:tcPr>
          <w:p w14:paraId="1EB03CE2">
            <w:pPr>
              <w:spacing w:line="340" w:lineRule="exact"/>
              <w:ind w:firstLine="280"/>
              <w:jc w:val="left"/>
              <w:rPr>
                <w:rFonts w:ascii="宋体" w:hAnsi="宋体" w:cs="宋体"/>
                <w:sz w:val="28"/>
                <w:szCs w:val="28"/>
              </w:rPr>
            </w:pPr>
          </w:p>
        </w:tc>
        <w:tc>
          <w:tcPr>
            <w:tcW w:w="1238" w:type="pct"/>
            <w:tcBorders>
              <w:top w:val="single" w:color="auto" w:sz="6" w:space="0"/>
              <w:left w:val="single" w:color="auto" w:sz="6" w:space="0"/>
              <w:bottom w:val="single" w:color="auto" w:sz="6" w:space="0"/>
              <w:right w:val="single" w:color="auto" w:sz="6" w:space="0"/>
            </w:tcBorders>
            <w:noWrap/>
            <w:vAlign w:val="center"/>
          </w:tcPr>
          <w:p w14:paraId="5AEDF22D">
            <w:pPr>
              <w:spacing w:line="340" w:lineRule="exact"/>
              <w:ind w:firstLine="280"/>
              <w:jc w:val="left"/>
              <w:rPr>
                <w:rFonts w:ascii="宋体" w:hAnsi="宋体" w:cs="宋体"/>
                <w:sz w:val="28"/>
                <w:szCs w:val="28"/>
              </w:rPr>
            </w:pPr>
          </w:p>
        </w:tc>
        <w:tc>
          <w:tcPr>
            <w:tcW w:w="1308" w:type="pct"/>
            <w:tcBorders>
              <w:top w:val="single" w:color="auto" w:sz="6" w:space="0"/>
              <w:left w:val="single" w:color="auto" w:sz="6" w:space="0"/>
              <w:bottom w:val="single" w:color="auto" w:sz="6" w:space="0"/>
              <w:right w:val="single" w:color="auto" w:sz="6" w:space="0"/>
            </w:tcBorders>
            <w:noWrap/>
            <w:vAlign w:val="center"/>
          </w:tcPr>
          <w:p w14:paraId="40BC9F92">
            <w:pPr>
              <w:spacing w:line="340" w:lineRule="exact"/>
              <w:ind w:firstLine="280"/>
              <w:jc w:val="left"/>
              <w:rPr>
                <w:rFonts w:ascii="宋体" w:hAnsi="宋体" w:cs="宋体"/>
                <w:sz w:val="28"/>
                <w:szCs w:val="28"/>
              </w:rPr>
            </w:pPr>
          </w:p>
        </w:tc>
        <w:tc>
          <w:tcPr>
            <w:tcW w:w="926" w:type="pct"/>
            <w:tcBorders>
              <w:top w:val="single" w:color="auto" w:sz="6" w:space="0"/>
              <w:left w:val="single" w:color="auto" w:sz="6" w:space="0"/>
              <w:bottom w:val="single" w:color="auto" w:sz="6" w:space="0"/>
              <w:right w:val="single" w:color="auto" w:sz="12" w:space="0"/>
            </w:tcBorders>
            <w:noWrap/>
          </w:tcPr>
          <w:p w14:paraId="69808A8D">
            <w:pPr>
              <w:spacing w:line="340" w:lineRule="exact"/>
              <w:ind w:firstLine="280"/>
              <w:jc w:val="left"/>
              <w:rPr>
                <w:rFonts w:ascii="宋体" w:hAnsi="宋体" w:cs="宋体"/>
                <w:sz w:val="28"/>
                <w:szCs w:val="28"/>
              </w:rPr>
            </w:pPr>
          </w:p>
        </w:tc>
      </w:tr>
      <w:tr w14:paraId="1357F0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468" w:type="pct"/>
            <w:tcBorders>
              <w:top w:val="single" w:color="auto" w:sz="6" w:space="0"/>
              <w:left w:val="single" w:color="auto" w:sz="12" w:space="0"/>
              <w:bottom w:val="single" w:color="auto" w:sz="6" w:space="0"/>
              <w:right w:val="single" w:color="auto" w:sz="6" w:space="0"/>
            </w:tcBorders>
            <w:noWrap/>
          </w:tcPr>
          <w:p w14:paraId="4A3BB97D">
            <w:pPr>
              <w:spacing w:line="340" w:lineRule="exact"/>
              <w:ind w:firstLine="280"/>
              <w:rPr>
                <w:rFonts w:ascii="宋体" w:hAnsi="宋体" w:cs="宋体"/>
                <w:sz w:val="28"/>
                <w:szCs w:val="28"/>
              </w:rPr>
            </w:pPr>
            <w:r>
              <w:rPr>
                <w:rFonts w:hint="eastAsia" w:ascii="宋体" w:hAnsi="宋体" w:cs="宋体"/>
                <w:sz w:val="28"/>
                <w:szCs w:val="28"/>
              </w:rPr>
              <w:t>2</w:t>
            </w:r>
          </w:p>
        </w:tc>
        <w:tc>
          <w:tcPr>
            <w:tcW w:w="1058" w:type="pct"/>
            <w:tcBorders>
              <w:top w:val="single" w:color="auto" w:sz="6" w:space="0"/>
              <w:left w:val="single" w:color="auto" w:sz="6" w:space="0"/>
              <w:bottom w:val="single" w:color="auto" w:sz="6" w:space="0"/>
              <w:right w:val="single" w:color="auto" w:sz="6" w:space="0"/>
            </w:tcBorders>
            <w:noWrap/>
            <w:vAlign w:val="center"/>
          </w:tcPr>
          <w:p w14:paraId="589D8871">
            <w:pPr>
              <w:spacing w:line="340" w:lineRule="exact"/>
              <w:ind w:firstLine="280"/>
              <w:jc w:val="left"/>
              <w:rPr>
                <w:rFonts w:ascii="宋体" w:hAnsi="宋体" w:cs="宋体"/>
                <w:sz w:val="28"/>
                <w:szCs w:val="28"/>
              </w:rPr>
            </w:pPr>
          </w:p>
        </w:tc>
        <w:tc>
          <w:tcPr>
            <w:tcW w:w="1238" w:type="pct"/>
            <w:tcBorders>
              <w:top w:val="single" w:color="auto" w:sz="6" w:space="0"/>
              <w:left w:val="single" w:color="auto" w:sz="6" w:space="0"/>
              <w:bottom w:val="single" w:color="auto" w:sz="6" w:space="0"/>
              <w:right w:val="single" w:color="auto" w:sz="6" w:space="0"/>
            </w:tcBorders>
            <w:noWrap/>
            <w:vAlign w:val="center"/>
          </w:tcPr>
          <w:p w14:paraId="2F31495C">
            <w:pPr>
              <w:spacing w:line="340" w:lineRule="exact"/>
              <w:ind w:firstLine="280"/>
              <w:jc w:val="left"/>
              <w:rPr>
                <w:rFonts w:ascii="宋体" w:hAnsi="宋体" w:cs="宋体"/>
                <w:sz w:val="28"/>
                <w:szCs w:val="28"/>
              </w:rPr>
            </w:pPr>
          </w:p>
        </w:tc>
        <w:tc>
          <w:tcPr>
            <w:tcW w:w="1308" w:type="pct"/>
            <w:tcBorders>
              <w:top w:val="single" w:color="auto" w:sz="6" w:space="0"/>
              <w:left w:val="single" w:color="auto" w:sz="6" w:space="0"/>
              <w:bottom w:val="single" w:color="auto" w:sz="6" w:space="0"/>
              <w:right w:val="single" w:color="auto" w:sz="6" w:space="0"/>
            </w:tcBorders>
            <w:noWrap/>
            <w:vAlign w:val="center"/>
          </w:tcPr>
          <w:p w14:paraId="453B54BE">
            <w:pPr>
              <w:spacing w:line="340" w:lineRule="exact"/>
              <w:ind w:firstLine="280"/>
              <w:jc w:val="left"/>
              <w:rPr>
                <w:rFonts w:ascii="宋体" w:hAnsi="宋体" w:cs="宋体"/>
                <w:sz w:val="28"/>
                <w:szCs w:val="28"/>
              </w:rPr>
            </w:pPr>
          </w:p>
        </w:tc>
        <w:tc>
          <w:tcPr>
            <w:tcW w:w="926" w:type="pct"/>
            <w:tcBorders>
              <w:top w:val="single" w:color="auto" w:sz="6" w:space="0"/>
              <w:left w:val="single" w:color="auto" w:sz="6" w:space="0"/>
              <w:bottom w:val="single" w:color="auto" w:sz="6" w:space="0"/>
              <w:right w:val="single" w:color="auto" w:sz="12" w:space="0"/>
            </w:tcBorders>
            <w:noWrap/>
          </w:tcPr>
          <w:p w14:paraId="3391DB09">
            <w:pPr>
              <w:spacing w:line="340" w:lineRule="exact"/>
              <w:ind w:firstLine="280"/>
              <w:jc w:val="left"/>
              <w:rPr>
                <w:rFonts w:ascii="宋体" w:hAnsi="宋体" w:cs="宋体"/>
                <w:sz w:val="28"/>
                <w:szCs w:val="28"/>
              </w:rPr>
            </w:pPr>
          </w:p>
        </w:tc>
      </w:tr>
      <w:tr w14:paraId="0DAFD1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468" w:type="pct"/>
            <w:tcBorders>
              <w:top w:val="single" w:color="auto" w:sz="6" w:space="0"/>
              <w:left w:val="single" w:color="auto" w:sz="12" w:space="0"/>
              <w:bottom w:val="single" w:color="auto" w:sz="6" w:space="0"/>
              <w:right w:val="single" w:color="auto" w:sz="6" w:space="0"/>
            </w:tcBorders>
            <w:noWrap/>
          </w:tcPr>
          <w:p w14:paraId="5039F56D">
            <w:pPr>
              <w:spacing w:line="340" w:lineRule="exact"/>
              <w:ind w:firstLine="280"/>
              <w:rPr>
                <w:rFonts w:ascii="宋体" w:hAnsi="宋体" w:cs="宋体"/>
                <w:sz w:val="28"/>
                <w:szCs w:val="28"/>
              </w:rPr>
            </w:pPr>
            <w:r>
              <w:rPr>
                <w:rFonts w:hint="eastAsia" w:ascii="宋体" w:hAnsi="宋体" w:cs="宋体"/>
                <w:sz w:val="28"/>
                <w:szCs w:val="28"/>
              </w:rPr>
              <w:t>3</w:t>
            </w:r>
          </w:p>
        </w:tc>
        <w:tc>
          <w:tcPr>
            <w:tcW w:w="1058" w:type="pct"/>
            <w:tcBorders>
              <w:top w:val="single" w:color="auto" w:sz="6" w:space="0"/>
              <w:left w:val="single" w:color="auto" w:sz="6" w:space="0"/>
              <w:bottom w:val="single" w:color="auto" w:sz="6" w:space="0"/>
              <w:right w:val="single" w:color="auto" w:sz="6" w:space="0"/>
            </w:tcBorders>
            <w:noWrap/>
            <w:vAlign w:val="center"/>
          </w:tcPr>
          <w:p w14:paraId="47BA4F60">
            <w:pPr>
              <w:spacing w:line="340" w:lineRule="exact"/>
              <w:ind w:firstLine="280"/>
              <w:jc w:val="left"/>
              <w:rPr>
                <w:rFonts w:ascii="宋体" w:hAnsi="宋体" w:cs="宋体"/>
                <w:sz w:val="28"/>
                <w:szCs w:val="28"/>
              </w:rPr>
            </w:pPr>
          </w:p>
        </w:tc>
        <w:tc>
          <w:tcPr>
            <w:tcW w:w="1238" w:type="pct"/>
            <w:tcBorders>
              <w:top w:val="single" w:color="auto" w:sz="6" w:space="0"/>
              <w:left w:val="single" w:color="auto" w:sz="6" w:space="0"/>
              <w:bottom w:val="single" w:color="auto" w:sz="6" w:space="0"/>
              <w:right w:val="single" w:color="auto" w:sz="6" w:space="0"/>
            </w:tcBorders>
            <w:noWrap/>
            <w:vAlign w:val="center"/>
          </w:tcPr>
          <w:p w14:paraId="0BC42AA3">
            <w:pPr>
              <w:spacing w:line="340" w:lineRule="exact"/>
              <w:ind w:firstLine="280"/>
              <w:jc w:val="left"/>
              <w:rPr>
                <w:rFonts w:ascii="宋体" w:hAnsi="宋体" w:cs="宋体"/>
                <w:sz w:val="28"/>
                <w:szCs w:val="28"/>
              </w:rPr>
            </w:pPr>
          </w:p>
        </w:tc>
        <w:tc>
          <w:tcPr>
            <w:tcW w:w="1308" w:type="pct"/>
            <w:tcBorders>
              <w:top w:val="single" w:color="auto" w:sz="6" w:space="0"/>
              <w:left w:val="single" w:color="auto" w:sz="6" w:space="0"/>
              <w:bottom w:val="single" w:color="auto" w:sz="6" w:space="0"/>
              <w:right w:val="single" w:color="auto" w:sz="6" w:space="0"/>
            </w:tcBorders>
            <w:noWrap/>
            <w:vAlign w:val="center"/>
          </w:tcPr>
          <w:p w14:paraId="2146B751">
            <w:pPr>
              <w:spacing w:line="340" w:lineRule="exact"/>
              <w:ind w:firstLine="280"/>
              <w:jc w:val="left"/>
              <w:rPr>
                <w:rFonts w:ascii="宋体" w:hAnsi="宋体" w:cs="宋体"/>
                <w:sz w:val="28"/>
                <w:szCs w:val="28"/>
              </w:rPr>
            </w:pPr>
          </w:p>
        </w:tc>
        <w:tc>
          <w:tcPr>
            <w:tcW w:w="926" w:type="pct"/>
            <w:tcBorders>
              <w:top w:val="single" w:color="auto" w:sz="6" w:space="0"/>
              <w:left w:val="single" w:color="auto" w:sz="6" w:space="0"/>
              <w:bottom w:val="single" w:color="auto" w:sz="6" w:space="0"/>
              <w:right w:val="single" w:color="auto" w:sz="12" w:space="0"/>
            </w:tcBorders>
            <w:noWrap/>
          </w:tcPr>
          <w:p w14:paraId="659DC16C">
            <w:pPr>
              <w:spacing w:line="340" w:lineRule="exact"/>
              <w:ind w:firstLine="280"/>
              <w:jc w:val="left"/>
              <w:rPr>
                <w:rFonts w:ascii="宋体" w:hAnsi="宋体" w:cs="宋体"/>
                <w:sz w:val="28"/>
                <w:szCs w:val="28"/>
              </w:rPr>
            </w:pPr>
          </w:p>
        </w:tc>
      </w:tr>
      <w:tr w14:paraId="748A11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468" w:type="pct"/>
            <w:tcBorders>
              <w:top w:val="single" w:color="auto" w:sz="6" w:space="0"/>
              <w:left w:val="single" w:color="auto" w:sz="12" w:space="0"/>
              <w:bottom w:val="single" w:color="auto" w:sz="6" w:space="0"/>
              <w:right w:val="single" w:color="auto" w:sz="6" w:space="0"/>
            </w:tcBorders>
            <w:noWrap/>
          </w:tcPr>
          <w:p w14:paraId="579AF748">
            <w:pPr>
              <w:spacing w:line="340" w:lineRule="exact"/>
              <w:ind w:firstLine="280"/>
              <w:rPr>
                <w:rFonts w:ascii="宋体" w:hAnsi="宋体" w:cs="宋体"/>
                <w:sz w:val="28"/>
                <w:szCs w:val="28"/>
              </w:rPr>
            </w:pPr>
            <w:r>
              <w:rPr>
                <w:rFonts w:hint="eastAsia" w:ascii="宋体" w:hAnsi="宋体" w:cs="宋体"/>
                <w:sz w:val="28"/>
                <w:szCs w:val="28"/>
              </w:rPr>
              <w:t>4</w:t>
            </w:r>
          </w:p>
        </w:tc>
        <w:tc>
          <w:tcPr>
            <w:tcW w:w="1058" w:type="pct"/>
            <w:tcBorders>
              <w:top w:val="single" w:color="auto" w:sz="6" w:space="0"/>
              <w:left w:val="single" w:color="auto" w:sz="6" w:space="0"/>
              <w:bottom w:val="single" w:color="auto" w:sz="6" w:space="0"/>
              <w:right w:val="single" w:color="auto" w:sz="6" w:space="0"/>
            </w:tcBorders>
            <w:noWrap/>
            <w:vAlign w:val="center"/>
          </w:tcPr>
          <w:p w14:paraId="69BFCEB2">
            <w:pPr>
              <w:spacing w:line="340" w:lineRule="exact"/>
              <w:ind w:firstLine="280"/>
              <w:jc w:val="left"/>
              <w:rPr>
                <w:rFonts w:ascii="宋体" w:hAnsi="宋体" w:cs="宋体"/>
                <w:sz w:val="28"/>
                <w:szCs w:val="28"/>
              </w:rPr>
            </w:pPr>
          </w:p>
        </w:tc>
        <w:tc>
          <w:tcPr>
            <w:tcW w:w="1238" w:type="pct"/>
            <w:tcBorders>
              <w:top w:val="single" w:color="auto" w:sz="6" w:space="0"/>
              <w:left w:val="single" w:color="auto" w:sz="6" w:space="0"/>
              <w:bottom w:val="single" w:color="auto" w:sz="6" w:space="0"/>
              <w:right w:val="single" w:color="auto" w:sz="6" w:space="0"/>
            </w:tcBorders>
            <w:noWrap/>
            <w:vAlign w:val="center"/>
          </w:tcPr>
          <w:p w14:paraId="4CB3A1CE">
            <w:pPr>
              <w:spacing w:line="340" w:lineRule="exact"/>
              <w:ind w:firstLine="280"/>
              <w:jc w:val="left"/>
              <w:rPr>
                <w:rFonts w:ascii="宋体" w:hAnsi="宋体" w:cs="宋体"/>
                <w:sz w:val="28"/>
                <w:szCs w:val="28"/>
              </w:rPr>
            </w:pPr>
          </w:p>
        </w:tc>
        <w:tc>
          <w:tcPr>
            <w:tcW w:w="1308" w:type="pct"/>
            <w:tcBorders>
              <w:top w:val="single" w:color="auto" w:sz="6" w:space="0"/>
              <w:left w:val="single" w:color="auto" w:sz="6" w:space="0"/>
              <w:bottom w:val="single" w:color="auto" w:sz="6" w:space="0"/>
              <w:right w:val="single" w:color="auto" w:sz="6" w:space="0"/>
            </w:tcBorders>
            <w:noWrap/>
            <w:vAlign w:val="center"/>
          </w:tcPr>
          <w:p w14:paraId="7D6C527E">
            <w:pPr>
              <w:spacing w:line="340" w:lineRule="exact"/>
              <w:ind w:firstLine="280"/>
              <w:jc w:val="left"/>
              <w:rPr>
                <w:rFonts w:ascii="宋体" w:hAnsi="宋体" w:cs="宋体"/>
                <w:sz w:val="28"/>
                <w:szCs w:val="28"/>
              </w:rPr>
            </w:pPr>
          </w:p>
        </w:tc>
        <w:tc>
          <w:tcPr>
            <w:tcW w:w="926" w:type="pct"/>
            <w:tcBorders>
              <w:top w:val="single" w:color="auto" w:sz="6" w:space="0"/>
              <w:left w:val="single" w:color="auto" w:sz="6" w:space="0"/>
              <w:bottom w:val="single" w:color="auto" w:sz="6" w:space="0"/>
              <w:right w:val="single" w:color="auto" w:sz="12" w:space="0"/>
            </w:tcBorders>
            <w:noWrap/>
          </w:tcPr>
          <w:p w14:paraId="7E8EE8BB">
            <w:pPr>
              <w:spacing w:line="340" w:lineRule="exact"/>
              <w:ind w:firstLine="280"/>
              <w:jc w:val="left"/>
              <w:rPr>
                <w:rFonts w:ascii="宋体" w:hAnsi="宋体" w:cs="宋体"/>
                <w:sz w:val="28"/>
                <w:szCs w:val="28"/>
              </w:rPr>
            </w:pPr>
          </w:p>
        </w:tc>
      </w:tr>
    </w:tbl>
    <w:p w14:paraId="31409EA7">
      <w:pPr>
        <w:snapToGrid w:val="0"/>
        <w:spacing w:line="300" w:lineRule="auto"/>
        <w:ind w:firstLine="281"/>
        <w:contextualSpacing/>
        <w:rPr>
          <w:rFonts w:ascii="宋体" w:hAnsi="宋体" w:cs="宋体"/>
          <w:b/>
          <w:sz w:val="28"/>
          <w:szCs w:val="28"/>
        </w:rPr>
      </w:pPr>
      <w:r>
        <w:rPr>
          <w:rFonts w:hint="eastAsia" w:ascii="宋体" w:hAnsi="宋体" w:cs="宋体"/>
          <w:b/>
          <w:sz w:val="28"/>
          <w:szCs w:val="28"/>
        </w:rPr>
        <w:t>注：</w:t>
      </w:r>
    </w:p>
    <w:p w14:paraId="0CF28A50">
      <w:pPr>
        <w:snapToGrid w:val="0"/>
        <w:spacing w:line="300" w:lineRule="auto"/>
        <w:ind w:firstLine="560" w:firstLineChars="200"/>
        <w:contextualSpacing/>
        <w:rPr>
          <w:rFonts w:ascii="宋体" w:hAnsi="宋体" w:cs="宋体"/>
          <w:sz w:val="28"/>
          <w:szCs w:val="28"/>
        </w:rPr>
      </w:pPr>
      <w:r>
        <w:rPr>
          <w:rFonts w:hint="eastAsia" w:ascii="宋体" w:hAnsi="宋体" w:cs="宋体"/>
          <w:sz w:val="28"/>
          <w:szCs w:val="28"/>
        </w:rPr>
        <w:t>1.如响应供应商提交的响应文件与采购文件第三部分“项目需求”中的技术部分的要求有偏离的，应逐条填列在偏离表中。未填写的内容视为完全响应本采购文件要求。</w:t>
      </w:r>
    </w:p>
    <w:p w14:paraId="5506CBCB">
      <w:pPr>
        <w:snapToGrid w:val="0"/>
        <w:spacing w:line="300" w:lineRule="auto"/>
        <w:ind w:firstLine="560" w:firstLineChars="200"/>
        <w:contextualSpacing/>
        <w:rPr>
          <w:rFonts w:ascii="宋体" w:hAnsi="宋体" w:cs="宋体"/>
          <w:sz w:val="28"/>
          <w:szCs w:val="28"/>
        </w:rPr>
      </w:pPr>
      <w:r>
        <w:rPr>
          <w:rFonts w:hint="eastAsia" w:ascii="宋体" w:hAnsi="宋体" w:cs="宋体"/>
          <w:sz w:val="28"/>
          <w:szCs w:val="28"/>
        </w:rPr>
        <w:t>2.“偏离说明”一栏选择“正偏离”、“负偏离”、“无偏离”进行填写。正偏离的确认和负偏离的是否响应采购文件，由询价小组认定。</w:t>
      </w:r>
    </w:p>
    <w:p w14:paraId="43F29F1C">
      <w:pPr>
        <w:snapToGrid w:val="0"/>
        <w:spacing w:line="300" w:lineRule="auto"/>
        <w:ind w:firstLine="560" w:firstLineChars="200"/>
        <w:contextualSpacing/>
        <w:rPr>
          <w:rFonts w:ascii="宋体" w:hAnsi="宋体" w:cs="宋体"/>
          <w:bCs/>
          <w:sz w:val="28"/>
          <w:szCs w:val="28"/>
        </w:rPr>
      </w:pPr>
      <w:r>
        <w:rPr>
          <w:rFonts w:hint="eastAsia" w:ascii="宋体" w:hAnsi="宋体" w:cs="宋体"/>
          <w:bCs/>
          <w:sz w:val="28"/>
          <w:szCs w:val="28"/>
        </w:rPr>
        <w:t>3.供应商若提供其他增值服务，可以在表中自行据实填写。</w:t>
      </w:r>
    </w:p>
    <w:p w14:paraId="35A39133">
      <w:pPr>
        <w:spacing w:line="312" w:lineRule="auto"/>
        <w:ind w:firstLine="2520" w:firstLineChars="900"/>
        <w:rPr>
          <w:rFonts w:ascii="宋体" w:hAnsi="宋体" w:cs="宋体"/>
          <w:sz w:val="28"/>
          <w:szCs w:val="28"/>
        </w:rPr>
      </w:pPr>
    </w:p>
    <w:p w14:paraId="0BE1EFC5">
      <w:pPr>
        <w:spacing w:line="312" w:lineRule="auto"/>
        <w:ind w:firstLine="2520" w:firstLineChars="900"/>
        <w:rPr>
          <w:rFonts w:ascii="宋体" w:hAnsi="宋体" w:cs="宋体"/>
          <w:sz w:val="28"/>
          <w:szCs w:val="28"/>
          <w:u w:val="single"/>
        </w:rPr>
      </w:pPr>
      <w:r>
        <w:rPr>
          <w:rFonts w:hint="eastAsia" w:ascii="宋体" w:hAnsi="宋体" w:cs="宋体"/>
          <w:sz w:val="28"/>
          <w:szCs w:val="28"/>
        </w:rPr>
        <w:t>响应供应商全称（盖公章）：</w:t>
      </w:r>
    </w:p>
    <w:p w14:paraId="3DB3062F">
      <w:pPr>
        <w:spacing w:line="312" w:lineRule="auto"/>
        <w:ind w:left="480" w:firstLine="1960" w:firstLineChars="700"/>
        <w:rPr>
          <w:rFonts w:ascii="宋体" w:hAnsi="宋体" w:cs="宋体"/>
          <w:sz w:val="28"/>
          <w:szCs w:val="28"/>
          <w:u w:val="single"/>
        </w:rPr>
      </w:pPr>
      <w:r>
        <w:rPr>
          <w:rFonts w:hint="eastAsia" w:ascii="宋体" w:hAnsi="宋体" w:cs="宋体"/>
          <w:sz w:val="28"/>
          <w:szCs w:val="28"/>
        </w:rPr>
        <w:t>法定代表人（签字或盖章）：</w:t>
      </w:r>
    </w:p>
    <w:p w14:paraId="51E06EFC">
      <w:pPr>
        <w:spacing w:line="312" w:lineRule="auto"/>
        <w:ind w:firstLine="2520" w:firstLineChars="900"/>
        <w:rPr>
          <w:rFonts w:ascii="宋体" w:hAnsi="宋体" w:cs="宋体"/>
          <w:sz w:val="28"/>
          <w:szCs w:val="28"/>
        </w:rPr>
      </w:pPr>
      <w:bookmarkStart w:id="62" w:name="_Toc71282449"/>
      <w:bookmarkStart w:id="63" w:name="_Toc71282604"/>
      <w:bookmarkStart w:id="64" w:name="_Toc71282465"/>
      <w:r>
        <w:rPr>
          <w:rFonts w:hint="eastAsia" w:ascii="宋体" w:hAnsi="宋体" w:cs="宋体"/>
          <w:sz w:val="28"/>
          <w:szCs w:val="28"/>
        </w:rPr>
        <w:t>日期： 年 月 日</w:t>
      </w:r>
      <w:bookmarkEnd w:id="62"/>
      <w:bookmarkEnd w:id="63"/>
      <w:bookmarkEnd w:id="64"/>
    </w:p>
    <w:p w14:paraId="41EA09A9">
      <w:pPr>
        <w:ind w:firstLine="321"/>
        <w:rPr>
          <w:rFonts w:ascii="宋体" w:hAnsi="宋体" w:cs="宋体"/>
          <w:b/>
          <w:bCs/>
          <w:sz w:val="32"/>
          <w:szCs w:val="32"/>
        </w:rPr>
      </w:pPr>
      <w:r>
        <w:rPr>
          <w:rFonts w:hint="eastAsia" w:ascii="宋体" w:hAnsi="宋体" w:cs="宋体"/>
          <w:b/>
          <w:bCs/>
          <w:sz w:val="32"/>
          <w:szCs w:val="32"/>
        </w:rPr>
        <w:br w:type="page"/>
      </w:r>
    </w:p>
    <w:p w14:paraId="629D79B3">
      <w:pPr>
        <w:spacing w:line="312" w:lineRule="auto"/>
        <w:rPr>
          <w:rFonts w:hint="eastAsia" w:ascii="宋体" w:hAnsi="宋体" w:eastAsia="宋体" w:cs="宋体"/>
          <w:sz w:val="32"/>
          <w:szCs w:val="32"/>
          <w:lang w:val="en-US" w:eastAsia="zh-CN"/>
        </w:rPr>
      </w:pPr>
      <w:r>
        <w:rPr>
          <w:rFonts w:hint="eastAsia" w:ascii="宋体" w:hAnsi="宋体" w:cs="宋体"/>
          <w:sz w:val="32"/>
          <w:szCs w:val="32"/>
        </w:rPr>
        <w:t>附件</w:t>
      </w:r>
      <w:r>
        <w:rPr>
          <w:rFonts w:hint="eastAsia" w:ascii="宋体" w:hAnsi="宋体" w:cs="宋体"/>
          <w:sz w:val="32"/>
          <w:szCs w:val="32"/>
          <w:lang w:val="en-US" w:eastAsia="zh-CN"/>
        </w:rPr>
        <w:t>6</w:t>
      </w:r>
    </w:p>
    <w:p w14:paraId="175CB3E9">
      <w:pPr>
        <w:jc w:val="center"/>
        <w:rPr>
          <w:rFonts w:hint="eastAsia" w:ascii="宋体" w:hAnsi="宋体" w:cs="宋体"/>
          <w:b/>
          <w:sz w:val="32"/>
          <w:szCs w:val="32"/>
          <w:highlight w:val="none"/>
        </w:rPr>
      </w:pPr>
      <w:r>
        <w:rPr>
          <w:rFonts w:hint="eastAsia" w:ascii="宋体" w:hAnsi="宋体" w:cs="宋体"/>
          <w:b/>
          <w:bCs/>
          <w:sz w:val="32"/>
          <w:szCs w:val="40"/>
          <w:highlight w:val="none"/>
        </w:rPr>
        <w:t>报</w:t>
      </w:r>
      <w:r>
        <w:rPr>
          <w:rFonts w:hint="eastAsia" w:ascii="宋体" w:hAnsi="宋体" w:cs="宋体"/>
          <w:b/>
          <w:sz w:val="32"/>
          <w:szCs w:val="32"/>
          <w:highlight w:val="none"/>
        </w:rPr>
        <w:t>价表</w:t>
      </w:r>
    </w:p>
    <w:p w14:paraId="1F04B68F">
      <w:pPr>
        <w:pStyle w:val="7"/>
        <w:rPr>
          <w:rFonts w:hint="eastAsia"/>
          <w:color w:val="auto"/>
          <w:sz w:val="28"/>
          <w:szCs w:val="28"/>
          <w:lang w:eastAsia="zh-CN"/>
        </w:rPr>
      </w:pPr>
      <w:r>
        <w:rPr>
          <w:color w:val="auto"/>
          <w:sz w:val="28"/>
          <w:szCs w:val="28"/>
        </w:rPr>
        <w:t>项目名称</w:t>
      </w:r>
      <w:r>
        <w:rPr>
          <w:rFonts w:hint="eastAsia"/>
          <w:color w:val="auto"/>
          <w:sz w:val="28"/>
          <w:szCs w:val="28"/>
        </w:rPr>
        <w:t>：</w:t>
      </w:r>
      <w:r>
        <w:rPr>
          <w:rFonts w:hint="eastAsia"/>
          <w:color w:val="auto"/>
          <w:sz w:val="28"/>
          <w:szCs w:val="28"/>
          <w:lang w:eastAsia="zh-CN"/>
        </w:rPr>
        <w:t>启东市吕四水处理有限公司氯离子监控终端、DO探头、ORP探头、液位计采购项目</w:t>
      </w: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2"/>
        <w:gridCol w:w="2663"/>
        <w:gridCol w:w="847"/>
        <w:gridCol w:w="846"/>
        <w:gridCol w:w="1685"/>
        <w:gridCol w:w="1782"/>
      </w:tblGrid>
      <w:tr w14:paraId="42AFF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5150DC6">
            <w:pPr>
              <w:keepNext w:val="0"/>
              <w:keepLines w:val="0"/>
              <w:widowControl/>
              <w:suppressLineNumbers w:val="0"/>
              <w:ind w:left="0" w:leftChars="0" w:firstLine="0" w:firstLineChars="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71CA23">
            <w:pPr>
              <w:keepNext w:val="0"/>
              <w:keepLines w:val="0"/>
              <w:widowControl/>
              <w:suppressLineNumbers w:val="0"/>
              <w:ind w:left="0" w:leftChars="0" w:firstLine="0" w:firstLineChars="0"/>
              <w:jc w:val="both"/>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产品名称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A7D5DF">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bCs/>
                <w:i w:val="0"/>
                <w:iCs w:val="0"/>
                <w:color w:val="000000"/>
                <w:sz w:val="21"/>
                <w:szCs w:val="21"/>
                <w:u w:val="none"/>
              </w:rPr>
            </w:pPr>
            <w:r>
              <w:rPr>
                <w:rFonts w:hint="default" w:ascii="Times New Roman" w:hAnsi="Times New Roman" w:eastAsia="宋体" w:cs="Times New Roman"/>
                <w:b/>
                <w:bCs/>
                <w:i w:val="0"/>
                <w:iCs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263A9C">
            <w:pPr>
              <w:keepNext w:val="0"/>
              <w:keepLines w:val="0"/>
              <w:widowControl/>
              <w:suppressLineNumbers w:val="0"/>
              <w:ind w:left="0" w:leftChars="0" w:firstLine="0" w:firstLineChars="0"/>
              <w:jc w:val="center"/>
              <w:textAlignment w:val="center"/>
              <w:rPr>
                <w:rFonts w:hint="default" w:ascii="Times New Roman" w:hAnsi="Times New Roman" w:eastAsia="宋体" w:cs="Times New Roman"/>
                <w:b/>
                <w:bCs/>
                <w:i w:val="0"/>
                <w:iCs w:val="0"/>
                <w:color w:val="000000"/>
                <w:kern w:val="0"/>
                <w:sz w:val="21"/>
                <w:szCs w:val="21"/>
                <w:u w:val="none"/>
                <w:lang w:val="en-US" w:eastAsia="zh-CN" w:bidi="ar"/>
              </w:rPr>
            </w:pPr>
            <w:r>
              <w:rPr>
                <w:rFonts w:hint="default" w:ascii="Times New Roman" w:hAnsi="Times New Roman" w:eastAsia="宋体" w:cs="Times New Roman"/>
                <w:b/>
                <w:bCs/>
                <w:i w:val="0"/>
                <w:iCs w:val="0"/>
                <w:color w:val="000000"/>
                <w:kern w:val="0"/>
                <w:sz w:val="21"/>
                <w:szCs w:val="2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380BC6">
            <w:pPr>
              <w:keepNext w:val="0"/>
              <w:keepLines w:val="0"/>
              <w:widowControl/>
              <w:suppressLineNumbers w:val="0"/>
              <w:jc w:val="center"/>
              <w:textAlignment w:val="center"/>
              <w:rPr>
                <w:rFonts w:hint="eastAsia"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单价（元）</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7ECE58">
            <w:pPr>
              <w:keepNext w:val="0"/>
              <w:keepLines w:val="0"/>
              <w:widowControl/>
              <w:suppressLineNumbers w:val="0"/>
              <w:jc w:val="center"/>
              <w:textAlignment w:val="center"/>
              <w:rPr>
                <w:rFonts w:hint="eastAsia" w:ascii="Times New Roman" w:hAnsi="Times New Roman" w:eastAsia="宋体" w:cs="Times New Roman"/>
                <w:b/>
                <w:bCs/>
                <w:i w:val="0"/>
                <w:iCs w:val="0"/>
                <w:color w:val="000000"/>
                <w:sz w:val="21"/>
                <w:szCs w:val="21"/>
                <w:u w:val="none"/>
                <w:lang w:val="en-US" w:eastAsia="zh-CN"/>
              </w:rPr>
            </w:pPr>
            <w:r>
              <w:rPr>
                <w:rFonts w:hint="eastAsia" w:ascii="Times New Roman" w:hAnsi="Times New Roman" w:eastAsia="宋体" w:cs="Times New Roman"/>
                <w:b/>
                <w:bCs/>
                <w:i w:val="0"/>
                <w:iCs w:val="0"/>
                <w:color w:val="000000"/>
                <w:sz w:val="21"/>
                <w:szCs w:val="21"/>
                <w:u w:val="none"/>
                <w:lang w:val="en-US" w:eastAsia="zh-CN"/>
              </w:rPr>
              <w:t>合计（元）</w:t>
            </w:r>
          </w:p>
        </w:tc>
      </w:tr>
      <w:tr w14:paraId="4C14C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C5DC6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96A8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防水型多参数测控终端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EE4E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DF10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8D4DC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2B996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000000"/>
                <w:sz w:val="21"/>
                <w:szCs w:val="21"/>
                <w:u w:val="none"/>
              </w:rPr>
            </w:pPr>
          </w:p>
        </w:tc>
      </w:tr>
      <w:tr w14:paraId="738DF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DC374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CE74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氯离子传感器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DA9F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58DA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AF520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8A5AA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000000"/>
                <w:sz w:val="21"/>
                <w:szCs w:val="21"/>
                <w:u w:val="none"/>
              </w:rPr>
            </w:pPr>
          </w:p>
        </w:tc>
      </w:tr>
      <w:tr w14:paraId="0029C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62ED1A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6717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水质监测平台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EEEB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6152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BEC8C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C632D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000000"/>
                <w:sz w:val="21"/>
                <w:szCs w:val="21"/>
                <w:u w:val="none"/>
              </w:rPr>
            </w:pPr>
          </w:p>
        </w:tc>
      </w:tr>
      <w:tr w14:paraId="7C640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37216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BA2D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DO探头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A10F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CB49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221D7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D6352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000000"/>
                <w:sz w:val="21"/>
                <w:szCs w:val="21"/>
                <w:u w:val="none"/>
              </w:rPr>
            </w:pPr>
          </w:p>
        </w:tc>
      </w:tr>
      <w:tr w14:paraId="3CE52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7F54E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50A7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ORP探头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305F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6979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EF07E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DA9B3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000000"/>
                <w:sz w:val="21"/>
                <w:szCs w:val="21"/>
                <w:u w:val="none"/>
              </w:rPr>
            </w:pPr>
          </w:p>
        </w:tc>
      </w:tr>
      <w:tr w14:paraId="1EF85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729180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CD09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超声波液位计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403D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96AF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2C05C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AEDB9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000000"/>
                <w:sz w:val="21"/>
                <w:szCs w:val="21"/>
                <w:u w:val="none"/>
              </w:rPr>
            </w:pPr>
          </w:p>
        </w:tc>
      </w:tr>
      <w:tr w14:paraId="70F1B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8E4B6D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0EDA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合计</w:t>
            </w:r>
          </w:p>
        </w:tc>
        <w:tc>
          <w:tcPr>
            <w:tcW w:w="0" w:type="auto"/>
            <w:gridSpan w:val="4"/>
            <w:tcBorders>
              <w:top w:val="single" w:color="000000" w:sz="4" w:space="0"/>
              <w:left w:val="single" w:color="000000" w:sz="4" w:space="0"/>
              <w:bottom w:val="single" w:color="000000" w:sz="4" w:space="0"/>
              <w:right w:val="single" w:color="000000" w:sz="4" w:space="0"/>
            </w:tcBorders>
            <w:noWrap w:val="0"/>
            <w:vAlign w:val="center"/>
          </w:tcPr>
          <w:p w14:paraId="73D36EF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宋体" w:cs="Times New Roman"/>
                <w:i w:val="0"/>
                <w:iCs w:val="0"/>
                <w:color w:val="000000"/>
                <w:sz w:val="21"/>
                <w:szCs w:val="21"/>
                <w:u w:val="none"/>
              </w:rPr>
            </w:pPr>
            <w:r>
              <w:rPr>
                <w:rFonts w:hint="eastAsia" w:ascii="宋体" w:hAnsi="宋体" w:eastAsia="宋体" w:cs="宋体"/>
                <w:i w:val="0"/>
                <w:iCs w:val="0"/>
                <w:color w:val="000000"/>
                <w:sz w:val="20"/>
                <w:szCs w:val="20"/>
                <w:u w:val="none"/>
                <w:lang w:eastAsia="zh-CN"/>
              </w:rPr>
              <w:t>大写</w:t>
            </w:r>
            <w:r>
              <w:rPr>
                <w:rFonts w:hint="eastAsia" w:ascii="宋体" w:hAnsi="宋体" w:eastAsia="宋体" w:cs="宋体"/>
                <w:i w:val="0"/>
                <w:iCs w:val="0"/>
                <w:color w:val="000000"/>
                <w:sz w:val="20"/>
                <w:szCs w:val="20"/>
                <w:u w:val="none"/>
                <w:lang w:val="en-US" w:eastAsia="zh-CN"/>
              </w:rPr>
              <w:t xml:space="preserve">           （小写：            ）。</w:t>
            </w:r>
          </w:p>
        </w:tc>
      </w:tr>
      <w:tr w14:paraId="21B68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8" w:hRule="atLeast"/>
          <w:jc w:val="center"/>
        </w:trPr>
        <w:tc>
          <w:tcPr>
            <w:tcW w:w="0" w:type="auto"/>
            <w:gridSpan w:val="6"/>
            <w:tcBorders>
              <w:top w:val="single" w:color="000000" w:sz="4" w:space="0"/>
              <w:left w:val="single" w:color="000000" w:sz="4" w:space="0"/>
              <w:bottom w:val="single" w:color="000000" w:sz="4" w:space="0"/>
              <w:right w:val="single" w:color="000000" w:sz="4" w:space="0"/>
            </w:tcBorders>
            <w:noWrap w:val="0"/>
            <w:vAlign w:val="center"/>
          </w:tcPr>
          <w:p w14:paraId="44F0BAA5">
            <w:pPr>
              <w:keepNext w:val="0"/>
              <w:keepLines w:val="0"/>
              <w:widowControl/>
              <w:numPr>
                <w:ilvl w:val="0"/>
                <w:numId w:val="0"/>
              </w:numPr>
              <w:suppressLineNumbers w:val="0"/>
              <w:jc w:val="both"/>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1、水质监测平台费用中包含2年数据流量费用，水质监测平台及APP使用费用。</w:t>
            </w:r>
            <w:r>
              <w:rPr>
                <w:rFonts w:hint="default" w:ascii="Times New Roman" w:hAnsi="Times New Roman" w:eastAsia="宋体" w:cs="Times New Roman"/>
                <w:i w:val="0"/>
                <w:iCs w:val="0"/>
                <w:color w:val="000000"/>
                <w:kern w:val="0"/>
                <w:sz w:val="21"/>
                <w:szCs w:val="21"/>
                <w:u w:val="none"/>
                <w:lang w:val="en-US" w:eastAsia="zh-CN" w:bidi="ar"/>
              </w:rPr>
              <w:br w:type="textWrapping"/>
            </w:r>
            <w:r>
              <w:rPr>
                <w:rFonts w:hint="default" w:ascii="Times New Roman" w:hAnsi="Times New Roman" w:eastAsia="宋体" w:cs="Times New Roman"/>
                <w:i w:val="0"/>
                <w:iCs w:val="0"/>
                <w:color w:val="000000"/>
                <w:kern w:val="0"/>
                <w:sz w:val="21"/>
                <w:szCs w:val="21"/>
                <w:u w:val="none"/>
                <w:lang w:val="en-US" w:eastAsia="zh-CN" w:bidi="ar"/>
              </w:rPr>
              <w:t xml:space="preserve">2、防水型多参数测控终端、氯离子传感器产品质保2年，水质监测平台（软件）需终身免费维护、升级。                               </w:t>
            </w:r>
          </w:p>
          <w:p w14:paraId="39CE34FB">
            <w:pPr>
              <w:keepNext w:val="0"/>
              <w:keepLines w:val="0"/>
              <w:widowControl/>
              <w:numPr>
                <w:ilvl w:val="0"/>
                <w:numId w:val="0"/>
              </w:numPr>
              <w:suppressLineNumbers w:val="0"/>
              <w:jc w:val="both"/>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3、以上所有项目均需根据我方要求进行安装调试。</w:t>
            </w:r>
          </w:p>
        </w:tc>
      </w:tr>
    </w:tbl>
    <w:p w14:paraId="7D7CC6D6">
      <w:pPr>
        <w:rPr>
          <w:rFonts w:hint="eastAsia"/>
          <w:lang w:eastAsia="zh-CN"/>
        </w:rPr>
      </w:pPr>
    </w:p>
    <w:p w14:paraId="0FAD77A7">
      <w:pPr>
        <w:spacing w:line="440" w:lineRule="exact"/>
        <w:jc w:val="left"/>
        <w:rPr>
          <w:rFonts w:ascii="宋体" w:hAnsi="宋体" w:cs="宋体"/>
          <w:color w:val="auto"/>
          <w:spacing w:val="4"/>
          <w:sz w:val="28"/>
          <w:szCs w:val="28"/>
        </w:rPr>
      </w:pPr>
      <w:r>
        <w:rPr>
          <w:rFonts w:hint="eastAsia" w:ascii="宋体" w:hAnsi="宋体" w:cs="宋体"/>
          <w:color w:val="auto"/>
          <w:spacing w:val="4"/>
          <w:sz w:val="28"/>
          <w:szCs w:val="28"/>
        </w:rPr>
        <w:t>注：本报价表须机打并加盖报价单位公章，手填无效。</w:t>
      </w:r>
    </w:p>
    <w:p w14:paraId="2B9FDD40">
      <w:pPr>
        <w:spacing w:line="440" w:lineRule="exact"/>
        <w:jc w:val="left"/>
        <w:rPr>
          <w:rFonts w:hint="eastAsia" w:ascii="宋体" w:hAnsi="宋体" w:cs="宋体"/>
          <w:color w:val="0000FF"/>
          <w:spacing w:val="4"/>
          <w:sz w:val="28"/>
          <w:szCs w:val="28"/>
        </w:rPr>
      </w:pPr>
    </w:p>
    <w:p w14:paraId="754038D2">
      <w:pPr>
        <w:spacing w:line="480" w:lineRule="auto"/>
        <w:ind w:firstLine="288" w:firstLineChars="100"/>
        <w:jc w:val="left"/>
        <w:rPr>
          <w:rFonts w:ascii="宋体" w:hAnsi="宋体" w:cs="宋体"/>
          <w:spacing w:val="4"/>
          <w:sz w:val="28"/>
          <w:szCs w:val="28"/>
        </w:rPr>
      </w:pPr>
      <w:r>
        <w:rPr>
          <w:rFonts w:hint="eastAsia" w:ascii="宋体" w:hAnsi="宋体" w:cs="宋体"/>
          <w:spacing w:val="4"/>
          <w:sz w:val="28"/>
          <w:szCs w:val="28"/>
        </w:rPr>
        <w:t>响应供应商全称(盖公章)：</w:t>
      </w:r>
    </w:p>
    <w:p w14:paraId="1E1017E7">
      <w:pPr>
        <w:spacing w:line="480" w:lineRule="auto"/>
        <w:ind w:firstLine="288"/>
        <w:jc w:val="left"/>
      </w:pPr>
      <w:r>
        <w:rPr>
          <w:rFonts w:hint="eastAsia" w:ascii="宋体" w:hAnsi="宋体" w:cs="宋体"/>
          <w:spacing w:val="4"/>
          <w:sz w:val="28"/>
          <w:szCs w:val="28"/>
        </w:rPr>
        <w:t>法定代表人（签字或盖章）：</w:t>
      </w:r>
    </w:p>
    <w:p w14:paraId="017D0B0D">
      <w:pPr>
        <w:pStyle w:val="7"/>
        <w:spacing w:after="0" w:line="480" w:lineRule="auto"/>
        <w:ind w:firstLine="288"/>
        <w:rPr>
          <w:rFonts w:ascii="宋体" w:hAnsi="宋体" w:cs="宋体"/>
          <w:spacing w:val="4"/>
          <w:sz w:val="28"/>
          <w:szCs w:val="28"/>
        </w:rPr>
      </w:pPr>
      <w:r>
        <w:rPr>
          <w:rFonts w:hint="eastAsia" w:ascii="宋体" w:hAnsi="宋体" w:cs="宋体"/>
          <w:spacing w:val="4"/>
          <w:sz w:val="28"/>
          <w:szCs w:val="28"/>
        </w:rPr>
        <w:t>联系电话：</w:t>
      </w:r>
    </w:p>
    <w:p w14:paraId="7097DB85">
      <w:pPr>
        <w:spacing w:line="480" w:lineRule="auto"/>
        <w:ind w:firstLine="288"/>
        <w:jc w:val="left"/>
        <w:rPr>
          <w:rFonts w:ascii="宋体" w:hAnsi="宋体" w:cs="宋体"/>
          <w:spacing w:val="4"/>
          <w:sz w:val="28"/>
          <w:szCs w:val="28"/>
        </w:rPr>
      </w:pPr>
      <w:r>
        <w:rPr>
          <w:rFonts w:hint="eastAsia" w:ascii="宋体" w:hAnsi="宋体" w:cs="宋体"/>
          <w:spacing w:val="4"/>
          <w:sz w:val="28"/>
          <w:szCs w:val="28"/>
        </w:rPr>
        <w:t>日期：   年 月  日</w:t>
      </w:r>
    </w:p>
    <w:p w14:paraId="5501EDD9">
      <w:pPr>
        <w:spacing w:line="312" w:lineRule="auto"/>
        <w:rPr>
          <w:rFonts w:hint="eastAsia" w:ascii="宋体" w:hAnsi="宋体" w:cs="宋体"/>
          <w:sz w:val="32"/>
          <w:szCs w:val="32"/>
        </w:rPr>
      </w:pPr>
    </w:p>
    <w:p w14:paraId="70FBAD30">
      <w:pPr>
        <w:spacing w:line="312" w:lineRule="auto"/>
        <w:rPr>
          <w:rFonts w:hint="eastAsia" w:ascii="宋体" w:hAnsi="宋体" w:eastAsia="宋体" w:cs="宋体"/>
          <w:sz w:val="32"/>
          <w:szCs w:val="32"/>
          <w:lang w:val="en-US" w:eastAsia="zh-CN"/>
        </w:rPr>
      </w:pPr>
      <w:r>
        <w:rPr>
          <w:rFonts w:hint="eastAsia" w:ascii="宋体" w:hAnsi="宋体" w:cs="宋体"/>
          <w:sz w:val="32"/>
          <w:szCs w:val="32"/>
        </w:rPr>
        <w:t>附件</w:t>
      </w:r>
      <w:r>
        <w:rPr>
          <w:rFonts w:hint="eastAsia" w:ascii="宋体" w:hAnsi="宋体" w:cs="宋体"/>
          <w:sz w:val="32"/>
          <w:szCs w:val="32"/>
          <w:lang w:val="en-US" w:eastAsia="zh-CN"/>
        </w:rPr>
        <w:t>7</w:t>
      </w:r>
    </w:p>
    <w:p w14:paraId="3E5C44CA">
      <w:pPr>
        <w:ind w:firstLine="360"/>
        <w:jc w:val="center"/>
        <w:rPr>
          <w:rFonts w:ascii="宋体" w:hAnsi="宋体" w:cs="宋体"/>
          <w:bCs/>
          <w:color w:val="auto"/>
          <w:sz w:val="36"/>
          <w:szCs w:val="36"/>
        </w:rPr>
      </w:pPr>
      <w:r>
        <w:rPr>
          <w:rFonts w:hint="eastAsia" w:ascii="宋体" w:hAnsi="宋体"/>
          <w:b/>
          <w:color w:val="auto"/>
          <w:sz w:val="32"/>
          <w:szCs w:val="32"/>
        </w:rPr>
        <w:t xml:space="preserve">   </w:t>
      </w:r>
      <w:r>
        <w:rPr>
          <w:rFonts w:hint="eastAsia" w:ascii="宋体" w:hAnsi="宋体" w:cs="宋体"/>
          <w:bCs/>
          <w:color w:val="auto"/>
          <w:sz w:val="36"/>
          <w:szCs w:val="36"/>
        </w:rPr>
        <w:t>质 保 承 诺 书</w:t>
      </w:r>
    </w:p>
    <w:p w14:paraId="3259A7E7">
      <w:pPr>
        <w:spacing w:line="500" w:lineRule="exact"/>
        <w:rPr>
          <w:rFonts w:ascii="宋体" w:hAnsi="宋体"/>
          <w:color w:val="000000"/>
          <w:sz w:val="28"/>
          <w:szCs w:val="28"/>
        </w:rPr>
      </w:pPr>
      <w:r>
        <w:rPr>
          <w:rFonts w:hint="eastAsia" w:ascii="宋体" w:hAnsi="宋体"/>
          <w:color w:val="000000"/>
          <w:sz w:val="28"/>
          <w:szCs w:val="28"/>
          <w:lang w:eastAsia="zh-CN"/>
        </w:rPr>
        <w:t>启东市城市水处理有限公司</w:t>
      </w:r>
      <w:r>
        <w:rPr>
          <w:rFonts w:hint="eastAsia" w:ascii="宋体" w:hAnsi="宋体"/>
          <w:color w:val="000000"/>
          <w:sz w:val="28"/>
          <w:szCs w:val="28"/>
        </w:rPr>
        <w:t>：</w:t>
      </w:r>
    </w:p>
    <w:p w14:paraId="642D63A2">
      <w:pPr>
        <w:spacing w:line="500" w:lineRule="exact"/>
        <w:ind w:firstLine="280" w:firstLineChars="100"/>
        <w:rPr>
          <w:rFonts w:ascii="宋体" w:hAnsi="宋体"/>
          <w:color w:val="000000"/>
          <w:sz w:val="28"/>
          <w:szCs w:val="28"/>
          <w:highlight w:val="none"/>
        </w:rPr>
      </w:pPr>
      <w:r>
        <w:rPr>
          <w:rFonts w:hint="eastAsia" w:ascii="宋体" w:hAnsi="宋体"/>
          <w:color w:val="000000"/>
          <w:sz w:val="28"/>
          <w:szCs w:val="28"/>
          <w:highlight w:val="none"/>
        </w:rPr>
        <w:t>（报价供应商全称）授权（姓  名）（职  务）为全权代表，参加</w:t>
      </w:r>
      <w:r>
        <w:rPr>
          <w:rFonts w:hint="eastAsia" w:ascii="宋体" w:hAnsi="宋体"/>
          <w:b/>
          <w:bCs/>
          <w:iCs/>
          <w:color w:val="000000"/>
          <w:sz w:val="28"/>
          <w:szCs w:val="28"/>
          <w:highlight w:val="none"/>
          <w:u w:val="single"/>
          <w:lang w:eastAsia="zh-CN"/>
        </w:rPr>
        <w:t>启东市吕四水处理有限公司氯离子监控终端、DO探头、ORP探头、液位计采购项目</w:t>
      </w:r>
      <w:r>
        <w:rPr>
          <w:rFonts w:hint="eastAsia" w:ascii="宋体" w:hAnsi="宋体"/>
          <w:color w:val="000000"/>
          <w:sz w:val="28"/>
          <w:szCs w:val="28"/>
          <w:highlight w:val="none"/>
        </w:rPr>
        <w:t>投标的有关活动，并宣布同意如下：</w:t>
      </w:r>
    </w:p>
    <w:p w14:paraId="64485FDF">
      <w:pPr>
        <w:tabs>
          <w:tab w:val="left" w:pos="1875"/>
        </w:tabs>
        <w:spacing w:line="560" w:lineRule="exact"/>
        <w:ind w:firstLine="560" w:firstLineChars="200"/>
        <w:jc w:val="left"/>
        <w:rPr>
          <w:rFonts w:ascii="仿宋_GB2312" w:hAnsi="仿宋_GB2312" w:eastAsia="仿宋_GB2312" w:cs="仿宋_GB2312"/>
          <w:sz w:val="32"/>
          <w:szCs w:val="32"/>
          <w:highlight w:val="none"/>
        </w:rPr>
      </w:pPr>
      <w:r>
        <w:rPr>
          <w:rFonts w:hint="eastAsia" w:ascii="宋体" w:hAnsi="宋体"/>
          <w:color w:val="000000"/>
          <w:sz w:val="28"/>
          <w:szCs w:val="28"/>
          <w:highlight w:val="none"/>
        </w:rPr>
        <w:t>1.我方承诺对本项目</w:t>
      </w:r>
      <w:r>
        <w:rPr>
          <w:rFonts w:hint="eastAsia" w:ascii="宋体" w:hAnsi="宋体"/>
          <w:color w:val="auto"/>
          <w:sz w:val="28"/>
          <w:szCs w:val="28"/>
          <w:highlight w:val="none"/>
        </w:rPr>
        <w:t>整体提供</w:t>
      </w:r>
      <w:r>
        <w:rPr>
          <w:rFonts w:hint="eastAsia" w:ascii="宋体" w:hAnsi="宋体"/>
          <w:color w:val="auto"/>
          <w:sz w:val="28"/>
          <w:szCs w:val="28"/>
          <w:highlight w:val="none"/>
          <w:u w:val="single"/>
          <w:lang w:val="en-US" w:eastAsia="zh-CN"/>
        </w:rPr>
        <w:t xml:space="preserve">  二</w:t>
      </w:r>
      <w:r>
        <w:rPr>
          <w:rFonts w:hint="eastAsia" w:ascii="宋体" w:hAnsi="宋体"/>
          <w:b/>
          <w:bCs/>
          <w:color w:val="auto"/>
          <w:sz w:val="28"/>
          <w:szCs w:val="28"/>
          <w:highlight w:val="none"/>
          <w:u w:val="single"/>
        </w:rPr>
        <w:t>年</w:t>
      </w:r>
      <w:r>
        <w:rPr>
          <w:rFonts w:hint="eastAsia" w:ascii="宋体" w:hAnsi="宋体"/>
          <w:b/>
          <w:bCs/>
          <w:color w:val="auto"/>
          <w:sz w:val="28"/>
          <w:szCs w:val="28"/>
          <w:highlight w:val="none"/>
          <w:u w:val="single"/>
          <w:lang w:eastAsia="zh-CN"/>
        </w:rPr>
        <w:t>（</w:t>
      </w:r>
      <w:r>
        <w:rPr>
          <w:rFonts w:hint="eastAsia" w:ascii="宋体" w:hAnsi="宋体"/>
          <w:b/>
          <w:bCs/>
          <w:color w:val="auto"/>
          <w:sz w:val="28"/>
          <w:szCs w:val="28"/>
          <w:highlight w:val="none"/>
          <w:u w:val="single"/>
          <w:lang w:val="en-US" w:eastAsia="zh-CN"/>
        </w:rPr>
        <w:t>除探头质保一年</w:t>
      </w:r>
      <w:r>
        <w:rPr>
          <w:rFonts w:hint="eastAsia" w:ascii="宋体" w:hAnsi="宋体"/>
          <w:b/>
          <w:bCs/>
          <w:color w:val="auto"/>
          <w:sz w:val="28"/>
          <w:szCs w:val="28"/>
          <w:highlight w:val="none"/>
          <w:u w:val="single"/>
          <w:lang w:eastAsia="zh-CN"/>
        </w:rPr>
        <w:t>）</w:t>
      </w:r>
      <w:r>
        <w:rPr>
          <w:rFonts w:hint="eastAsia" w:ascii="宋体" w:hAnsi="宋体"/>
          <w:color w:val="auto"/>
          <w:sz w:val="28"/>
          <w:szCs w:val="28"/>
          <w:highlight w:val="none"/>
        </w:rPr>
        <w:t>全免费</w:t>
      </w:r>
      <w:r>
        <w:rPr>
          <w:rFonts w:hint="eastAsia" w:ascii="宋体" w:hAnsi="宋体"/>
          <w:color w:val="000000"/>
          <w:sz w:val="28"/>
          <w:szCs w:val="28"/>
          <w:highlight w:val="none"/>
        </w:rPr>
        <w:t>质保</w:t>
      </w:r>
      <w:r>
        <w:rPr>
          <w:rFonts w:hint="eastAsia" w:ascii="宋体" w:hAnsi="宋体"/>
          <w:color w:val="000000"/>
          <w:sz w:val="28"/>
          <w:szCs w:val="28"/>
          <w:highlight w:val="none"/>
          <w:lang w:eastAsia="zh-CN"/>
        </w:rPr>
        <w:t>（</w:t>
      </w:r>
      <w:r>
        <w:rPr>
          <w:rFonts w:hint="eastAsia" w:ascii="宋体" w:hAnsi="宋体"/>
          <w:color w:val="000000"/>
          <w:sz w:val="28"/>
          <w:szCs w:val="28"/>
          <w:highlight w:val="none"/>
          <w:lang w:val="en-US" w:eastAsia="zh-CN"/>
        </w:rPr>
        <w:t>配件+人工</w:t>
      </w:r>
      <w:r>
        <w:rPr>
          <w:rFonts w:hint="eastAsia" w:ascii="宋体" w:hAnsi="宋体"/>
          <w:color w:val="000000"/>
          <w:sz w:val="28"/>
          <w:szCs w:val="28"/>
          <w:highlight w:val="none"/>
          <w:lang w:eastAsia="zh-CN"/>
        </w:rPr>
        <w:t>）</w:t>
      </w:r>
      <w:r>
        <w:rPr>
          <w:rFonts w:hint="eastAsia" w:ascii="宋体" w:hAnsi="宋体"/>
          <w:color w:val="000000"/>
          <w:sz w:val="28"/>
          <w:szCs w:val="28"/>
          <w:highlight w:val="none"/>
        </w:rPr>
        <w:t>及售后服务。</w:t>
      </w:r>
    </w:p>
    <w:p w14:paraId="4FE445BE">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560" w:firstLineChars="200"/>
        <w:contextualSpacing/>
        <w:jc w:val="both"/>
        <w:rPr>
          <w:rFonts w:hint="eastAsia" w:ascii="宋体" w:hAnsi="宋体"/>
          <w:color w:val="000000"/>
          <w:sz w:val="28"/>
          <w:szCs w:val="28"/>
          <w:highlight w:val="none"/>
          <w:lang w:val="en-US" w:eastAsia="zh-CN"/>
        </w:rPr>
      </w:pPr>
      <w:r>
        <w:rPr>
          <w:rFonts w:hint="eastAsia" w:ascii="宋体" w:hAnsi="宋体"/>
          <w:color w:val="000000"/>
          <w:sz w:val="28"/>
          <w:szCs w:val="28"/>
          <w:highlight w:val="none"/>
        </w:rPr>
        <w:t>2.在免费质保期内，</w:t>
      </w:r>
      <w:r>
        <w:rPr>
          <w:rFonts w:hint="eastAsia" w:ascii="宋体" w:hAnsi="宋体"/>
          <w:color w:val="000000"/>
          <w:sz w:val="28"/>
          <w:szCs w:val="28"/>
          <w:highlight w:val="none"/>
          <w:lang w:val="en-US" w:eastAsia="zh-CN"/>
        </w:rPr>
        <w:t>成交供应商应免费维修。货物在质保期内出现故障时，成交供应商在接到用户单位电话通知后，须8小时之内上门服务并在4小时内修复。如需更换货物或送修，必须在12小时内提供备用货物，并在5个工作日内负责维修完毕并送至用户单位处。供应商超时或未在规定的时间内及时处理故障，每次罚2000元扣款。</w:t>
      </w:r>
    </w:p>
    <w:p w14:paraId="5E5D1021">
      <w:pPr>
        <w:spacing w:line="500" w:lineRule="exact"/>
        <w:ind w:firstLine="560" w:firstLineChars="200"/>
        <w:rPr>
          <w:rFonts w:hint="eastAsia" w:ascii="宋体" w:hAnsi="宋体"/>
          <w:color w:val="000000"/>
          <w:sz w:val="28"/>
          <w:szCs w:val="28"/>
          <w:highlight w:val="none"/>
          <w:lang w:val="en-US" w:eastAsia="zh-CN"/>
        </w:rPr>
      </w:pPr>
      <w:r>
        <w:rPr>
          <w:rFonts w:hint="eastAsia" w:ascii="宋体" w:hAnsi="宋体"/>
          <w:color w:val="000000"/>
          <w:sz w:val="28"/>
          <w:szCs w:val="28"/>
          <w:highlight w:val="none"/>
          <w:lang w:val="en-US" w:eastAsia="zh-CN"/>
        </w:rPr>
        <w:t>3.免费质保期内，同一商品、同一质量问题连续两次维修仍无法正常使用，成交供应商应无条件给予全套更新或退货，更换后的货物质保期自更换之日起重新计算。质保期内成交供应商应免费维修，质保期外的维修收费按国家和供应商的相关规定办理。</w:t>
      </w:r>
    </w:p>
    <w:p w14:paraId="638B0139">
      <w:pPr>
        <w:spacing w:line="500" w:lineRule="exact"/>
        <w:ind w:firstLine="560" w:firstLineChars="200"/>
        <w:rPr>
          <w:rFonts w:ascii="宋体" w:hAnsi="宋体"/>
          <w:color w:val="000000"/>
          <w:sz w:val="28"/>
          <w:szCs w:val="28"/>
        </w:rPr>
      </w:pPr>
      <w:r>
        <w:rPr>
          <w:rFonts w:hint="eastAsia" w:ascii="宋体" w:hAnsi="宋体"/>
          <w:color w:val="000000"/>
          <w:sz w:val="28"/>
          <w:szCs w:val="28"/>
          <w:lang w:val="en-US" w:eastAsia="zh-CN"/>
        </w:rPr>
        <w:t>4</w:t>
      </w:r>
      <w:r>
        <w:rPr>
          <w:rFonts w:hint="eastAsia" w:ascii="宋体" w:hAnsi="宋体"/>
          <w:color w:val="000000"/>
          <w:sz w:val="28"/>
          <w:szCs w:val="28"/>
        </w:rPr>
        <w:t>.与本项目有关的一切往来通讯请寄：</w:t>
      </w:r>
    </w:p>
    <w:p w14:paraId="665DCE54">
      <w:pPr>
        <w:spacing w:line="500" w:lineRule="exact"/>
        <w:rPr>
          <w:rFonts w:ascii="宋体" w:hAnsi="宋体"/>
          <w:color w:val="000000"/>
          <w:sz w:val="28"/>
          <w:szCs w:val="28"/>
        </w:rPr>
      </w:pPr>
    </w:p>
    <w:p w14:paraId="2493B1AE">
      <w:pPr>
        <w:spacing w:line="500" w:lineRule="exact"/>
        <w:rPr>
          <w:rFonts w:ascii="宋体" w:hAnsi="宋体"/>
          <w:color w:val="000000"/>
          <w:sz w:val="28"/>
          <w:szCs w:val="28"/>
        </w:rPr>
      </w:pPr>
      <w:r>
        <w:rPr>
          <w:rFonts w:hint="eastAsia" w:ascii="宋体" w:hAnsi="宋体"/>
          <w:color w:val="000000"/>
          <w:sz w:val="28"/>
          <w:szCs w:val="28"/>
        </w:rPr>
        <w:t>地址：　　　　　　　　　　 邮编：　　　　　　　　　　</w:t>
      </w:r>
    </w:p>
    <w:p w14:paraId="52503ED0">
      <w:pPr>
        <w:spacing w:line="500" w:lineRule="exact"/>
        <w:rPr>
          <w:rFonts w:ascii="宋体" w:hAnsi="宋体"/>
          <w:color w:val="000000"/>
          <w:sz w:val="28"/>
          <w:szCs w:val="28"/>
        </w:rPr>
      </w:pPr>
      <w:r>
        <w:rPr>
          <w:rFonts w:hint="eastAsia" w:ascii="宋体" w:hAnsi="宋体"/>
          <w:color w:val="000000"/>
          <w:sz w:val="28"/>
          <w:szCs w:val="28"/>
        </w:rPr>
        <w:t>电话：　　　　　　　　　　 传真：　　　　　　　　　　</w:t>
      </w:r>
    </w:p>
    <w:p w14:paraId="2EF0DBFA">
      <w:pPr>
        <w:spacing w:line="500" w:lineRule="exact"/>
        <w:rPr>
          <w:rFonts w:ascii="宋体" w:hAnsi="宋体"/>
          <w:color w:val="000000"/>
          <w:sz w:val="28"/>
          <w:szCs w:val="28"/>
        </w:rPr>
      </w:pPr>
      <w:r>
        <w:rPr>
          <w:rFonts w:hint="eastAsia" w:ascii="宋体" w:hAnsi="宋体"/>
          <w:color w:val="000000"/>
          <w:sz w:val="28"/>
          <w:szCs w:val="28"/>
        </w:rPr>
        <w:t>报价单位代表：　　　　　　 职务：　　　　　　　　　　</w:t>
      </w:r>
    </w:p>
    <w:p w14:paraId="5C051700">
      <w:pPr>
        <w:spacing w:line="500" w:lineRule="exact"/>
        <w:rPr>
          <w:rFonts w:ascii="宋体" w:hAnsi="宋体"/>
          <w:color w:val="000000"/>
          <w:sz w:val="28"/>
          <w:szCs w:val="28"/>
        </w:rPr>
      </w:pPr>
    </w:p>
    <w:p w14:paraId="14B64698">
      <w:pPr>
        <w:spacing w:line="500" w:lineRule="exact"/>
        <w:rPr>
          <w:rFonts w:ascii="宋体" w:hAnsi="宋体"/>
          <w:color w:val="000000"/>
          <w:sz w:val="28"/>
          <w:szCs w:val="28"/>
        </w:rPr>
      </w:pPr>
      <w:r>
        <w:rPr>
          <w:rFonts w:hint="eastAsia" w:ascii="宋体" w:hAnsi="宋体"/>
          <w:color w:val="000000"/>
          <w:sz w:val="28"/>
          <w:szCs w:val="28"/>
        </w:rPr>
        <w:t>日期：    年   月   日　</w:t>
      </w:r>
    </w:p>
    <w:p w14:paraId="52964445">
      <w:pPr>
        <w:spacing w:line="500" w:lineRule="exact"/>
        <w:rPr>
          <w:rFonts w:ascii="宋体" w:hAnsi="宋体"/>
          <w:color w:val="000000"/>
          <w:sz w:val="28"/>
          <w:szCs w:val="28"/>
        </w:rPr>
      </w:pPr>
      <w:r>
        <w:rPr>
          <w:rFonts w:hint="eastAsia" w:ascii="宋体" w:hAnsi="宋体"/>
          <w:color w:val="000000"/>
          <w:sz w:val="28"/>
          <w:szCs w:val="28"/>
        </w:rPr>
        <w:t>　</w:t>
      </w:r>
    </w:p>
    <w:p w14:paraId="720DDA58">
      <w:pPr>
        <w:spacing w:line="500" w:lineRule="exact"/>
        <w:rPr>
          <w:rFonts w:ascii="宋体" w:hAnsi="宋体"/>
          <w:color w:val="000000"/>
          <w:sz w:val="28"/>
          <w:szCs w:val="28"/>
        </w:rPr>
      </w:pPr>
    </w:p>
    <w:p w14:paraId="33A173D4">
      <w:pPr>
        <w:rPr>
          <w:rFonts w:hint="eastAsia" w:ascii="宋体" w:hAnsi="宋体" w:eastAsia="宋体" w:cs="宋体"/>
          <w:sz w:val="32"/>
          <w:szCs w:val="32"/>
          <w:lang w:val="en-US" w:eastAsia="zh-CN"/>
        </w:rPr>
      </w:pPr>
      <w:r>
        <w:rPr>
          <w:rFonts w:hint="eastAsia" w:ascii="宋体" w:hAnsi="宋体" w:cs="宋体"/>
          <w:bCs/>
          <w:sz w:val="32"/>
          <w:szCs w:val="32"/>
        </w:rPr>
        <w:t>附件</w:t>
      </w:r>
      <w:r>
        <w:rPr>
          <w:rFonts w:hint="eastAsia" w:ascii="宋体" w:hAnsi="宋体" w:cs="宋体"/>
          <w:bCs/>
          <w:sz w:val="32"/>
          <w:szCs w:val="32"/>
          <w:lang w:val="en-US" w:eastAsia="zh-CN"/>
        </w:rPr>
        <w:t>8</w:t>
      </w:r>
    </w:p>
    <w:p w14:paraId="7E0D9555">
      <w:pPr>
        <w:ind w:firstLine="360"/>
        <w:jc w:val="center"/>
        <w:rPr>
          <w:rFonts w:ascii="宋体" w:hAnsi="宋体" w:cs="宋体"/>
          <w:bCs/>
          <w:sz w:val="36"/>
          <w:szCs w:val="36"/>
        </w:rPr>
      </w:pPr>
      <w:r>
        <w:rPr>
          <w:rFonts w:hint="eastAsia" w:ascii="宋体" w:hAnsi="宋体" w:cs="宋体"/>
          <w:bCs/>
          <w:sz w:val="36"/>
          <w:szCs w:val="36"/>
        </w:rPr>
        <w:t>质疑函范本</w:t>
      </w:r>
    </w:p>
    <w:p w14:paraId="7B8D7781">
      <w:pPr>
        <w:adjustRightInd w:val="0"/>
        <w:snapToGrid w:val="0"/>
        <w:spacing w:beforeLines="100" w:line="312" w:lineRule="auto"/>
        <w:ind w:firstLine="280"/>
        <w:rPr>
          <w:rFonts w:ascii="宋体" w:hAnsi="宋体" w:cs="宋体"/>
          <w:bCs/>
          <w:sz w:val="28"/>
          <w:szCs w:val="28"/>
        </w:rPr>
      </w:pPr>
      <w:r>
        <w:rPr>
          <w:rFonts w:hint="eastAsia" w:ascii="宋体" w:hAnsi="宋体" w:cs="宋体"/>
          <w:bCs/>
          <w:sz w:val="28"/>
          <w:szCs w:val="28"/>
        </w:rPr>
        <w:t>一、质疑供应商基本信息</w:t>
      </w:r>
    </w:p>
    <w:p w14:paraId="76FC6831">
      <w:pPr>
        <w:adjustRightInd w:val="0"/>
        <w:snapToGrid w:val="0"/>
        <w:spacing w:line="312" w:lineRule="auto"/>
        <w:ind w:firstLine="280"/>
        <w:rPr>
          <w:rFonts w:ascii="宋体" w:hAnsi="宋体" w:cs="宋体"/>
          <w:sz w:val="28"/>
          <w:szCs w:val="28"/>
          <w:u w:val="dotted"/>
        </w:rPr>
      </w:pPr>
      <w:r>
        <w:rPr>
          <w:rFonts w:hint="eastAsia" w:ascii="宋体" w:hAnsi="宋体" w:cs="宋体"/>
          <w:sz w:val="28"/>
          <w:szCs w:val="28"/>
        </w:rPr>
        <w:t>质疑供应商：</w:t>
      </w:r>
    </w:p>
    <w:p w14:paraId="3F5D0FD4">
      <w:pPr>
        <w:adjustRightInd w:val="0"/>
        <w:snapToGrid w:val="0"/>
        <w:spacing w:line="312" w:lineRule="auto"/>
        <w:ind w:firstLine="280"/>
        <w:rPr>
          <w:rFonts w:ascii="宋体" w:hAnsi="宋体" w:cs="宋体"/>
          <w:sz w:val="28"/>
          <w:szCs w:val="28"/>
        </w:rPr>
      </w:pPr>
      <w:r>
        <w:rPr>
          <w:rFonts w:hint="eastAsia" w:ascii="宋体" w:hAnsi="宋体" w:cs="宋体"/>
          <w:sz w:val="28"/>
          <w:szCs w:val="28"/>
        </w:rPr>
        <w:t>地址：邮编：</w:t>
      </w:r>
    </w:p>
    <w:p w14:paraId="6278F62F">
      <w:pPr>
        <w:adjustRightInd w:val="0"/>
        <w:snapToGrid w:val="0"/>
        <w:spacing w:line="312" w:lineRule="auto"/>
        <w:ind w:firstLine="280"/>
        <w:rPr>
          <w:rFonts w:ascii="宋体" w:hAnsi="宋体" w:cs="宋体"/>
          <w:sz w:val="28"/>
          <w:szCs w:val="28"/>
        </w:rPr>
      </w:pPr>
      <w:r>
        <w:rPr>
          <w:rFonts w:hint="eastAsia" w:ascii="宋体" w:hAnsi="宋体" w:cs="宋体"/>
          <w:sz w:val="28"/>
          <w:szCs w:val="28"/>
        </w:rPr>
        <w:t>联系人：联系电话：</w:t>
      </w:r>
    </w:p>
    <w:p w14:paraId="456E578F">
      <w:pPr>
        <w:adjustRightInd w:val="0"/>
        <w:snapToGrid w:val="0"/>
        <w:spacing w:line="312" w:lineRule="auto"/>
        <w:ind w:firstLine="280"/>
        <w:rPr>
          <w:rFonts w:ascii="宋体" w:hAnsi="宋体" w:cs="宋体"/>
          <w:sz w:val="28"/>
          <w:szCs w:val="28"/>
          <w:u w:val="dotted"/>
        </w:rPr>
      </w:pPr>
      <w:r>
        <w:rPr>
          <w:rFonts w:hint="eastAsia" w:ascii="宋体" w:hAnsi="宋体" w:cs="宋体"/>
          <w:sz w:val="28"/>
          <w:szCs w:val="28"/>
        </w:rPr>
        <w:t>授权代表：</w:t>
      </w:r>
    </w:p>
    <w:p w14:paraId="0EDFBFBB">
      <w:pPr>
        <w:adjustRightInd w:val="0"/>
        <w:snapToGrid w:val="0"/>
        <w:spacing w:line="312" w:lineRule="auto"/>
        <w:ind w:firstLine="280"/>
        <w:rPr>
          <w:rFonts w:ascii="宋体" w:hAnsi="宋体" w:cs="宋体"/>
          <w:sz w:val="28"/>
          <w:szCs w:val="28"/>
        </w:rPr>
      </w:pPr>
      <w:r>
        <w:rPr>
          <w:rFonts w:hint="eastAsia" w:ascii="宋体" w:hAnsi="宋体" w:cs="宋体"/>
          <w:sz w:val="28"/>
          <w:szCs w:val="28"/>
        </w:rPr>
        <w:t>联系电话：</w:t>
      </w:r>
    </w:p>
    <w:p w14:paraId="6C0D6283">
      <w:pPr>
        <w:adjustRightInd w:val="0"/>
        <w:snapToGrid w:val="0"/>
        <w:spacing w:line="312" w:lineRule="auto"/>
        <w:ind w:firstLine="280"/>
        <w:rPr>
          <w:rFonts w:ascii="宋体" w:hAnsi="宋体" w:cs="宋体"/>
          <w:sz w:val="28"/>
          <w:szCs w:val="28"/>
        </w:rPr>
      </w:pPr>
      <w:r>
        <w:rPr>
          <w:rFonts w:hint="eastAsia" w:ascii="宋体" w:hAnsi="宋体" w:cs="宋体"/>
          <w:sz w:val="28"/>
          <w:szCs w:val="28"/>
        </w:rPr>
        <w:t>地址：邮编：</w:t>
      </w:r>
    </w:p>
    <w:p w14:paraId="7FC96F47">
      <w:pPr>
        <w:adjustRightInd w:val="0"/>
        <w:snapToGrid w:val="0"/>
        <w:spacing w:line="312" w:lineRule="auto"/>
        <w:ind w:firstLine="280"/>
        <w:rPr>
          <w:rFonts w:ascii="宋体" w:hAnsi="宋体" w:cs="宋体"/>
          <w:bCs/>
          <w:sz w:val="28"/>
          <w:szCs w:val="28"/>
        </w:rPr>
      </w:pPr>
      <w:r>
        <w:rPr>
          <w:rFonts w:hint="eastAsia" w:ascii="宋体" w:hAnsi="宋体" w:cs="宋体"/>
          <w:bCs/>
          <w:sz w:val="28"/>
          <w:szCs w:val="28"/>
        </w:rPr>
        <w:t>二、质疑项目基本情况</w:t>
      </w:r>
    </w:p>
    <w:p w14:paraId="0DF1836B">
      <w:pPr>
        <w:adjustRightInd w:val="0"/>
        <w:snapToGrid w:val="0"/>
        <w:spacing w:line="312" w:lineRule="auto"/>
        <w:ind w:firstLine="280"/>
        <w:rPr>
          <w:rFonts w:ascii="宋体" w:hAnsi="宋体" w:cs="宋体"/>
          <w:sz w:val="28"/>
          <w:szCs w:val="28"/>
        </w:rPr>
      </w:pPr>
      <w:r>
        <w:rPr>
          <w:rFonts w:hint="eastAsia" w:ascii="宋体" w:hAnsi="宋体" w:cs="宋体"/>
          <w:sz w:val="28"/>
          <w:szCs w:val="28"/>
        </w:rPr>
        <w:t>质疑项目的名称：</w:t>
      </w:r>
    </w:p>
    <w:p w14:paraId="3480C217">
      <w:pPr>
        <w:adjustRightInd w:val="0"/>
        <w:snapToGrid w:val="0"/>
        <w:spacing w:line="312" w:lineRule="auto"/>
        <w:ind w:firstLine="280"/>
        <w:rPr>
          <w:rFonts w:ascii="宋体" w:hAnsi="宋体" w:cs="宋体"/>
          <w:sz w:val="28"/>
          <w:szCs w:val="28"/>
        </w:rPr>
      </w:pPr>
      <w:r>
        <w:rPr>
          <w:rFonts w:hint="eastAsia" w:ascii="宋体" w:hAnsi="宋体" w:cs="宋体"/>
          <w:sz w:val="28"/>
          <w:szCs w:val="28"/>
        </w:rPr>
        <w:t>质疑项目的编号：包号：</w:t>
      </w:r>
    </w:p>
    <w:p w14:paraId="04D1C9A6">
      <w:pPr>
        <w:adjustRightInd w:val="0"/>
        <w:snapToGrid w:val="0"/>
        <w:spacing w:line="312" w:lineRule="auto"/>
        <w:ind w:firstLine="280"/>
        <w:rPr>
          <w:rFonts w:ascii="宋体" w:hAnsi="宋体" w:cs="宋体"/>
          <w:sz w:val="28"/>
          <w:szCs w:val="28"/>
          <w:u w:val="dotted"/>
        </w:rPr>
      </w:pPr>
      <w:r>
        <w:rPr>
          <w:rFonts w:hint="eastAsia" w:ascii="宋体" w:hAnsi="宋体" w:cs="宋体"/>
          <w:sz w:val="28"/>
          <w:szCs w:val="28"/>
        </w:rPr>
        <w:t>采购人名称：</w:t>
      </w:r>
    </w:p>
    <w:p w14:paraId="3E091B7F">
      <w:pPr>
        <w:adjustRightInd w:val="0"/>
        <w:snapToGrid w:val="0"/>
        <w:spacing w:line="312" w:lineRule="auto"/>
        <w:ind w:firstLine="280"/>
        <w:rPr>
          <w:rFonts w:ascii="宋体" w:hAnsi="宋体" w:cs="宋体"/>
          <w:sz w:val="28"/>
          <w:szCs w:val="28"/>
        </w:rPr>
      </w:pPr>
      <w:r>
        <w:rPr>
          <w:rFonts w:hint="eastAsia" w:ascii="宋体" w:hAnsi="宋体" w:cs="宋体"/>
          <w:sz w:val="28"/>
          <w:szCs w:val="28"/>
        </w:rPr>
        <w:t>采购文件获取日期：</w:t>
      </w:r>
    </w:p>
    <w:p w14:paraId="3FE45C18">
      <w:pPr>
        <w:adjustRightInd w:val="0"/>
        <w:snapToGrid w:val="0"/>
        <w:spacing w:line="312" w:lineRule="auto"/>
        <w:ind w:firstLine="280"/>
        <w:rPr>
          <w:rFonts w:ascii="宋体" w:hAnsi="宋体" w:cs="宋体"/>
          <w:bCs/>
          <w:sz w:val="28"/>
          <w:szCs w:val="28"/>
        </w:rPr>
      </w:pPr>
      <w:r>
        <w:rPr>
          <w:rFonts w:hint="eastAsia" w:ascii="宋体" w:hAnsi="宋体" w:cs="宋体"/>
          <w:bCs/>
          <w:sz w:val="28"/>
          <w:szCs w:val="28"/>
        </w:rPr>
        <w:t>三、质疑事项具体内容</w:t>
      </w:r>
    </w:p>
    <w:p w14:paraId="2558AC90">
      <w:pPr>
        <w:adjustRightInd w:val="0"/>
        <w:snapToGrid w:val="0"/>
        <w:spacing w:line="312" w:lineRule="auto"/>
        <w:ind w:firstLine="280"/>
        <w:rPr>
          <w:rFonts w:ascii="宋体" w:hAnsi="宋体" w:cs="宋体"/>
          <w:sz w:val="28"/>
          <w:szCs w:val="28"/>
          <w:u w:val="dotted"/>
        </w:rPr>
      </w:pPr>
      <w:r>
        <w:rPr>
          <w:rFonts w:hint="eastAsia" w:ascii="宋体" w:hAnsi="宋体" w:cs="宋体"/>
          <w:sz w:val="28"/>
          <w:szCs w:val="28"/>
        </w:rPr>
        <w:t>质疑事项1：</w:t>
      </w:r>
    </w:p>
    <w:p w14:paraId="5D4ABDA9">
      <w:pPr>
        <w:adjustRightInd w:val="0"/>
        <w:snapToGrid w:val="0"/>
        <w:spacing w:line="312" w:lineRule="auto"/>
        <w:ind w:firstLine="280"/>
        <w:rPr>
          <w:rFonts w:ascii="宋体" w:hAnsi="宋体" w:cs="宋体"/>
          <w:sz w:val="28"/>
          <w:szCs w:val="28"/>
          <w:u w:val="dotted"/>
        </w:rPr>
      </w:pPr>
      <w:r>
        <w:rPr>
          <w:rFonts w:hint="eastAsia" w:ascii="宋体" w:hAnsi="宋体" w:cs="宋体"/>
          <w:sz w:val="28"/>
          <w:szCs w:val="28"/>
        </w:rPr>
        <w:t>事实依据：</w:t>
      </w:r>
    </w:p>
    <w:p w14:paraId="21452D39">
      <w:pPr>
        <w:adjustRightInd w:val="0"/>
        <w:snapToGrid w:val="0"/>
        <w:spacing w:line="312" w:lineRule="auto"/>
        <w:ind w:firstLine="280"/>
        <w:rPr>
          <w:rFonts w:ascii="宋体" w:hAnsi="宋体" w:cs="宋体"/>
          <w:sz w:val="28"/>
          <w:szCs w:val="28"/>
        </w:rPr>
      </w:pPr>
    </w:p>
    <w:p w14:paraId="6D591134">
      <w:pPr>
        <w:adjustRightInd w:val="0"/>
        <w:snapToGrid w:val="0"/>
        <w:spacing w:line="312" w:lineRule="auto"/>
        <w:ind w:firstLine="280"/>
        <w:rPr>
          <w:rFonts w:ascii="宋体" w:hAnsi="宋体" w:cs="宋体"/>
          <w:sz w:val="28"/>
          <w:szCs w:val="28"/>
          <w:u w:val="dotted"/>
        </w:rPr>
      </w:pPr>
      <w:r>
        <w:rPr>
          <w:rFonts w:hint="eastAsia" w:ascii="宋体" w:hAnsi="宋体" w:cs="宋体"/>
          <w:sz w:val="28"/>
          <w:szCs w:val="28"/>
        </w:rPr>
        <w:t>法律依据：</w:t>
      </w:r>
    </w:p>
    <w:p w14:paraId="086C6A41">
      <w:pPr>
        <w:adjustRightInd w:val="0"/>
        <w:snapToGrid w:val="0"/>
        <w:spacing w:line="312" w:lineRule="auto"/>
        <w:ind w:firstLine="280"/>
        <w:rPr>
          <w:rFonts w:ascii="宋体" w:hAnsi="宋体" w:cs="宋体"/>
          <w:sz w:val="28"/>
          <w:szCs w:val="28"/>
          <w:u w:val="dotted"/>
        </w:rPr>
      </w:pPr>
    </w:p>
    <w:p w14:paraId="544158FB">
      <w:pPr>
        <w:adjustRightInd w:val="0"/>
        <w:snapToGrid w:val="0"/>
        <w:spacing w:line="312" w:lineRule="auto"/>
        <w:ind w:firstLine="280"/>
        <w:rPr>
          <w:rFonts w:ascii="宋体" w:hAnsi="宋体" w:cs="宋体"/>
          <w:sz w:val="28"/>
          <w:szCs w:val="28"/>
          <w:u w:val="dotted"/>
        </w:rPr>
      </w:pPr>
      <w:r>
        <w:rPr>
          <w:rFonts w:hint="eastAsia" w:ascii="宋体" w:hAnsi="宋体" w:cs="宋体"/>
          <w:sz w:val="28"/>
          <w:szCs w:val="28"/>
        </w:rPr>
        <w:t>质疑事项2</w:t>
      </w:r>
    </w:p>
    <w:p w14:paraId="607E0F17">
      <w:pPr>
        <w:adjustRightInd w:val="0"/>
        <w:snapToGrid w:val="0"/>
        <w:spacing w:line="312" w:lineRule="auto"/>
        <w:ind w:firstLine="280"/>
        <w:rPr>
          <w:rFonts w:ascii="宋体" w:hAnsi="宋体" w:cs="宋体"/>
          <w:sz w:val="28"/>
          <w:szCs w:val="28"/>
        </w:rPr>
      </w:pPr>
      <w:r>
        <w:rPr>
          <w:rFonts w:hint="eastAsia" w:ascii="宋体" w:hAnsi="宋体" w:cs="宋体"/>
          <w:sz w:val="28"/>
          <w:szCs w:val="28"/>
        </w:rPr>
        <w:t>……</w:t>
      </w:r>
    </w:p>
    <w:p w14:paraId="798E7740">
      <w:pPr>
        <w:adjustRightInd w:val="0"/>
        <w:snapToGrid w:val="0"/>
        <w:spacing w:line="312" w:lineRule="auto"/>
        <w:ind w:firstLine="280"/>
        <w:rPr>
          <w:rFonts w:ascii="宋体" w:hAnsi="宋体" w:cs="宋体"/>
          <w:bCs/>
          <w:sz w:val="28"/>
          <w:szCs w:val="28"/>
        </w:rPr>
      </w:pPr>
      <w:r>
        <w:rPr>
          <w:rFonts w:hint="eastAsia" w:ascii="宋体" w:hAnsi="宋体" w:cs="宋体"/>
          <w:bCs/>
          <w:sz w:val="28"/>
          <w:szCs w:val="28"/>
        </w:rPr>
        <w:t>四、与质疑事项相关的质疑请求</w:t>
      </w:r>
    </w:p>
    <w:p w14:paraId="1E61C530">
      <w:pPr>
        <w:adjustRightInd w:val="0"/>
        <w:snapToGrid w:val="0"/>
        <w:spacing w:line="312" w:lineRule="auto"/>
        <w:ind w:firstLine="280"/>
        <w:rPr>
          <w:rFonts w:ascii="宋体" w:hAnsi="宋体" w:cs="宋体"/>
          <w:sz w:val="28"/>
          <w:szCs w:val="28"/>
          <w:u w:val="dotted"/>
        </w:rPr>
      </w:pPr>
      <w:r>
        <w:rPr>
          <w:rFonts w:hint="eastAsia" w:ascii="宋体" w:hAnsi="宋体" w:cs="宋体"/>
          <w:sz w:val="28"/>
          <w:szCs w:val="28"/>
        </w:rPr>
        <w:t>请求：</w:t>
      </w:r>
    </w:p>
    <w:p w14:paraId="2E4049E9">
      <w:pPr>
        <w:spacing w:line="312" w:lineRule="auto"/>
        <w:ind w:firstLine="280"/>
        <w:rPr>
          <w:rFonts w:ascii="宋体" w:hAnsi="宋体" w:cs="宋体"/>
          <w:sz w:val="28"/>
          <w:szCs w:val="28"/>
        </w:rPr>
      </w:pPr>
      <w:r>
        <w:rPr>
          <w:rFonts w:hint="eastAsia" w:ascii="宋体" w:hAnsi="宋体" w:cs="宋体"/>
          <w:sz w:val="28"/>
          <w:szCs w:val="28"/>
        </w:rPr>
        <w:t xml:space="preserve">签字(签章)：                   公章：                      </w:t>
      </w:r>
    </w:p>
    <w:p w14:paraId="1523BF1D">
      <w:pPr>
        <w:spacing w:line="312" w:lineRule="auto"/>
        <w:ind w:firstLine="280"/>
        <w:rPr>
          <w:rFonts w:ascii="宋体" w:hAnsi="宋体" w:cs="宋体"/>
          <w:sz w:val="28"/>
          <w:szCs w:val="28"/>
        </w:rPr>
      </w:pPr>
      <w:r>
        <w:rPr>
          <w:rFonts w:hint="eastAsia" w:ascii="宋体" w:hAnsi="宋体" w:cs="宋体"/>
          <w:sz w:val="28"/>
          <w:szCs w:val="28"/>
        </w:rPr>
        <w:t xml:space="preserve">日期：    </w:t>
      </w:r>
    </w:p>
    <w:p w14:paraId="0265AAC5">
      <w:pPr>
        <w:adjustRightInd w:val="0"/>
        <w:snapToGrid w:val="0"/>
        <w:spacing w:line="288" w:lineRule="auto"/>
        <w:ind w:firstLine="280"/>
        <w:rPr>
          <w:rFonts w:ascii="宋体" w:hAnsi="宋体" w:cs="宋体"/>
          <w:sz w:val="28"/>
          <w:szCs w:val="28"/>
        </w:rPr>
      </w:pPr>
    </w:p>
    <w:p w14:paraId="367484D3">
      <w:pPr>
        <w:ind w:firstLine="281"/>
        <w:rPr>
          <w:rFonts w:ascii="宋体" w:hAnsi="宋体" w:cs="宋体"/>
          <w:b/>
          <w:sz w:val="28"/>
          <w:szCs w:val="28"/>
        </w:rPr>
      </w:pPr>
      <w:r>
        <w:rPr>
          <w:rFonts w:hint="eastAsia" w:ascii="宋体" w:hAnsi="宋体" w:cs="宋体"/>
          <w:b/>
          <w:sz w:val="28"/>
          <w:szCs w:val="28"/>
        </w:rPr>
        <w:t>质疑函制作说明：</w:t>
      </w:r>
    </w:p>
    <w:p w14:paraId="41576EE1">
      <w:pPr>
        <w:widowControl/>
        <w:ind w:firstLine="560" w:firstLineChars="200"/>
        <w:jc w:val="left"/>
        <w:rPr>
          <w:rFonts w:ascii="宋体" w:hAnsi="宋体" w:cs="宋体"/>
          <w:sz w:val="28"/>
          <w:szCs w:val="28"/>
        </w:rPr>
      </w:pPr>
      <w:r>
        <w:rPr>
          <w:rFonts w:hint="eastAsia" w:ascii="宋体" w:hAnsi="宋体" w:cs="宋体"/>
          <w:sz w:val="28"/>
          <w:szCs w:val="28"/>
        </w:rPr>
        <w:t>1.供应商提出质疑时，应提交质疑函和必要的证明材料。</w:t>
      </w:r>
    </w:p>
    <w:p w14:paraId="07AEBF0B">
      <w:pPr>
        <w:widowControl/>
        <w:ind w:firstLine="560" w:firstLineChars="200"/>
        <w:jc w:val="left"/>
        <w:rPr>
          <w:rFonts w:ascii="宋体" w:hAnsi="宋体" w:cs="宋体"/>
          <w:sz w:val="28"/>
          <w:szCs w:val="28"/>
        </w:rPr>
      </w:pPr>
      <w:r>
        <w:rPr>
          <w:rFonts w:hint="eastAsia" w:ascii="宋体" w:hAnsi="宋体" w:cs="宋体"/>
          <w:sz w:val="28"/>
          <w:szCs w:val="28"/>
        </w:rPr>
        <w:t>2.质疑供应商若委托代理人进行质疑的，质疑函应按要求列明“授权代表”的有关内容，并在附件中提交由质疑</w:t>
      </w:r>
      <w:r>
        <w:rPr>
          <w:rFonts w:hint="eastAsia" w:ascii="宋体" w:hAnsi="宋体" w:cs="宋体"/>
          <w:kern w:val="0"/>
          <w:sz w:val="28"/>
          <w:szCs w:val="28"/>
        </w:rPr>
        <w:t>供应商签署的授权委托书。授权委托书应载明代理人的姓名或者名称、代理事项、具体权限、期限和相关事项。</w:t>
      </w:r>
    </w:p>
    <w:p w14:paraId="7DF54190">
      <w:pPr>
        <w:widowControl/>
        <w:ind w:firstLine="560" w:firstLineChars="200"/>
        <w:jc w:val="left"/>
        <w:rPr>
          <w:rFonts w:ascii="宋体" w:hAnsi="宋体" w:cs="宋体"/>
          <w:sz w:val="28"/>
          <w:szCs w:val="28"/>
        </w:rPr>
      </w:pPr>
      <w:r>
        <w:rPr>
          <w:rFonts w:hint="eastAsia" w:ascii="宋体" w:hAnsi="宋体" w:cs="宋体"/>
          <w:sz w:val="28"/>
          <w:szCs w:val="28"/>
        </w:rPr>
        <w:t>3.质疑供应商若对项目的某一分包进行质疑，质疑函中应列明具体分包号。</w:t>
      </w:r>
    </w:p>
    <w:p w14:paraId="58E57653">
      <w:pPr>
        <w:widowControl/>
        <w:ind w:firstLine="560" w:firstLineChars="200"/>
        <w:jc w:val="left"/>
        <w:rPr>
          <w:rFonts w:ascii="宋体" w:hAnsi="宋体" w:cs="宋体"/>
          <w:sz w:val="28"/>
          <w:szCs w:val="28"/>
        </w:rPr>
      </w:pPr>
      <w:r>
        <w:rPr>
          <w:rFonts w:hint="eastAsia" w:ascii="宋体" w:hAnsi="宋体" w:cs="宋体"/>
          <w:sz w:val="28"/>
          <w:szCs w:val="28"/>
        </w:rPr>
        <w:t>4.质疑函的质疑事项应具体、明确，并有必要的事实依据和法律依据。</w:t>
      </w:r>
    </w:p>
    <w:p w14:paraId="4351BB62">
      <w:pPr>
        <w:widowControl/>
        <w:ind w:firstLine="560" w:firstLineChars="200"/>
        <w:jc w:val="left"/>
        <w:rPr>
          <w:rFonts w:ascii="宋体" w:hAnsi="宋体" w:cs="宋体"/>
          <w:sz w:val="28"/>
          <w:szCs w:val="28"/>
        </w:rPr>
      </w:pPr>
      <w:r>
        <w:rPr>
          <w:rFonts w:hint="eastAsia" w:ascii="宋体" w:hAnsi="宋体" w:cs="宋体"/>
          <w:sz w:val="28"/>
          <w:szCs w:val="28"/>
        </w:rPr>
        <w:t>5.质疑函的质疑请求应与质疑事项相关。</w:t>
      </w:r>
    </w:p>
    <w:p w14:paraId="20B84809">
      <w:pPr>
        <w:widowControl/>
        <w:ind w:firstLine="560" w:firstLineChars="200"/>
        <w:jc w:val="left"/>
        <w:rPr>
          <w:rFonts w:ascii="宋体" w:hAnsi="宋体" w:cs="宋体"/>
          <w:sz w:val="28"/>
          <w:szCs w:val="28"/>
        </w:rPr>
      </w:pPr>
      <w:r>
        <w:rPr>
          <w:rFonts w:hint="eastAsia" w:ascii="宋体" w:hAnsi="宋体" w:cs="宋体"/>
          <w:sz w:val="28"/>
          <w:szCs w:val="28"/>
        </w:rPr>
        <w:t>6.质疑供应商为自然人的，质疑函应由本人签字；质疑供应商为法人或者其他组织的，质疑函应由法定代表人、主要负责人，或者其授权代表签字或者盖章，并加盖公章。</w:t>
      </w:r>
    </w:p>
    <w:p w14:paraId="1216550F">
      <w:pPr>
        <w:snapToGrid w:val="0"/>
        <w:spacing w:line="300" w:lineRule="auto"/>
        <w:ind w:firstLine="280"/>
        <w:outlineLvl w:val="0"/>
        <w:rPr>
          <w:rFonts w:ascii="宋体" w:hAnsi="宋体" w:cs="宋体"/>
          <w:sz w:val="28"/>
          <w:szCs w:val="28"/>
        </w:rPr>
      </w:pPr>
    </w:p>
    <w:p w14:paraId="0AE45218">
      <w:pPr>
        <w:snapToGrid w:val="0"/>
        <w:spacing w:line="300" w:lineRule="auto"/>
        <w:ind w:firstLine="280"/>
        <w:outlineLvl w:val="0"/>
        <w:rPr>
          <w:rFonts w:ascii="宋体" w:hAnsi="宋体" w:cs="宋体"/>
          <w:sz w:val="28"/>
          <w:szCs w:val="28"/>
        </w:rPr>
      </w:pPr>
    </w:p>
    <w:p w14:paraId="25D43BC1">
      <w:pPr>
        <w:spacing w:line="312" w:lineRule="auto"/>
        <w:ind w:firstLine="280"/>
        <w:rPr>
          <w:rFonts w:ascii="宋体" w:hAnsi="宋体" w:cs="宋体"/>
          <w:sz w:val="28"/>
          <w:szCs w:val="28"/>
        </w:rPr>
      </w:pPr>
    </w:p>
    <w:sectPr>
      <w:headerReference r:id="rId5" w:type="default"/>
      <w:footerReference r:id="rId7" w:type="default"/>
      <w:headerReference r:id="rId6" w:type="even"/>
      <w:footerReference r:id="rId8" w:type="even"/>
      <w:pgSz w:w="11915" w:h="16840"/>
      <w:pgMar w:top="1440" w:right="1758" w:bottom="1440" w:left="1758" w:header="851" w:footer="850"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C9FDE">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04F7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BA285">
    <w:pPr>
      <w:pStyle w:val="11"/>
      <w:ind w:firstLine="280"/>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22DDBC6">
                          <w:pPr>
                            <w:pStyle w:val="11"/>
                          </w:pPr>
                          <w:r>
                            <w:fldChar w:fldCharType="begin"/>
                          </w:r>
                          <w:r>
                            <w:instrText xml:space="preserve"> PAGE  \* MERGEFORMAT </w:instrText>
                          </w:r>
                          <w:r>
                            <w:fldChar w:fldCharType="separate"/>
                          </w:r>
                          <w:r>
                            <w:t>17</w:t>
                          </w:r>
                          <w:r>
                            <w:fldChar w:fldCharType="end"/>
                          </w:r>
                        </w:p>
                      </w:txbxContent>
                    </wps:txbx>
                    <wps:bodyPr wrap="none" lIns="0" tIns="0" rIns="0" bIns="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xoy/izwEAAKoDAAAOAAAAAAAAAAEAIAAAAB4BAABkcnMv&#10;ZTJvRG9jLnhtbFBLBQYAAAAABgAGAFkBAABfBQAAAAA=&#10;">
              <v:fill on="f" focussize="0,0"/>
              <v:stroke on="f"/>
              <v:imagedata o:title=""/>
              <o:lock v:ext="edit" aspectratio="f"/>
              <v:textbox inset="0mm,0mm,0mm,0mm" style="mso-fit-shape-to-text:t;">
                <w:txbxContent>
                  <w:p w14:paraId="622DDBC6">
                    <w:pPr>
                      <w:pStyle w:val="11"/>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B813D">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C29929">
                          <w:pPr>
                            <w:pStyle w:val="11"/>
                          </w:pPr>
                          <w:r>
                            <w:fldChar w:fldCharType="begin"/>
                          </w:r>
                          <w:r>
                            <w:instrText xml:space="preserve"> PAGE  \* MERGEFORMAT </w:instrText>
                          </w:r>
                          <w:r>
                            <w:fldChar w:fldCharType="separate"/>
                          </w:r>
                          <w:r>
                            <w:t>16</w:t>
                          </w:r>
                          <w: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bSAjIAQAAmQMAAA4AAAAAAAAAAQAgAAAAHgEAAGRycy9lMm9Eb2Mu&#10;eG1sUEsFBgAAAAAGAAYAWQEAAFgFAAAAAA==&#10;">
              <v:fill on="f" focussize="0,0"/>
              <v:stroke on="f"/>
              <v:imagedata o:title=""/>
              <o:lock v:ext="edit" aspectratio="f"/>
              <v:textbox inset="0mm,0mm,0mm,0mm" style="mso-fit-shape-to-text:t;">
                <w:txbxContent>
                  <w:p w14:paraId="65C29929">
                    <w:pPr>
                      <w:pStyle w:val="11"/>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1F186">
    <w:pPr>
      <w:pStyle w:val="12"/>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D9E5E">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31FD2"/>
    <w:multiLevelType w:val="singleLevel"/>
    <w:tmpl w:val="9C331FD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iOWNjZjQxZGY4NDBmMWI4MzY5ZTJlYmU1MmFmZWIifQ=="/>
  </w:docVars>
  <w:rsids>
    <w:rsidRoot w:val="72DA44FF"/>
    <w:rsid w:val="000031BB"/>
    <w:rsid w:val="00003D36"/>
    <w:rsid w:val="000120F6"/>
    <w:rsid w:val="00013AEC"/>
    <w:rsid w:val="00025FA8"/>
    <w:rsid w:val="00030D94"/>
    <w:rsid w:val="00032F61"/>
    <w:rsid w:val="000331E2"/>
    <w:rsid w:val="000379CA"/>
    <w:rsid w:val="000422F3"/>
    <w:rsid w:val="00045328"/>
    <w:rsid w:val="00046A73"/>
    <w:rsid w:val="0005603F"/>
    <w:rsid w:val="00070AAF"/>
    <w:rsid w:val="00073987"/>
    <w:rsid w:val="000740FB"/>
    <w:rsid w:val="00076DDC"/>
    <w:rsid w:val="00081013"/>
    <w:rsid w:val="00090298"/>
    <w:rsid w:val="00090358"/>
    <w:rsid w:val="00093E5A"/>
    <w:rsid w:val="00093FAB"/>
    <w:rsid w:val="00094233"/>
    <w:rsid w:val="00096DE3"/>
    <w:rsid w:val="000971F5"/>
    <w:rsid w:val="000A34A5"/>
    <w:rsid w:val="000A7995"/>
    <w:rsid w:val="000B0D5B"/>
    <w:rsid w:val="000B37FA"/>
    <w:rsid w:val="000C1502"/>
    <w:rsid w:val="000C54B1"/>
    <w:rsid w:val="000C59DE"/>
    <w:rsid w:val="000D23CC"/>
    <w:rsid w:val="000F24EA"/>
    <w:rsid w:val="000F5F73"/>
    <w:rsid w:val="00102AD3"/>
    <w:rsid w:val="00103299"/>
    <w:rsid w:val="00104A30"/>
    <w:rsid w:val="00104F7B"/>
    <w:rsid w:val="00106C4E"/>
    <w:rsid w:val="001125F2"/>
    <w:rsid w:val="00116193"/>
    <w:rsid w:val="0011760F"/>
    <w:rsid w:val="00117731"/>
    <w:rsid w:val="001213A8"/>
    <w:rsid w:val="00123BCF"/>
    <w:rsid w:val="00123E1C"/>
    <w:rsid w:val="0014136A"/>
    <w:rsid w:val="00143C33"/>
    <w:rsid w:val="00147C3C"/>
    <w:rsid w:val="00151A61"/>
    <w:rsid w:val="00177C0D"/>
    <w:rsid w:val="00185BF7"/>
    <w:rsid w:val="00191364"/>
    <w:rsid w:val="001A4E75"/>
    <w:rsid w:val="001A7BD3"/>
    <w:rsid w:val="001D4F48"/>
    <w:rsid w:val="001D645A"/>
    <w:rsid w:val="001E0D3F"/>
    <w:rsid w:val="001E0E4D"/>
    <w:rsid w:val="001F141B"/>
    <w:rsid w:val="001F3BB0"/>
    <w:rsid w:val="00203E2B"/>
    <w:rsid w:val="00205D51"/>
    <w:rsid w:val="00210BA2"/>
    <w:rsid w:val="00217FBF"/>
    <w:rsid w:val="00222282"/>
    <w:rsid w:val="002240CE"/>
    <w:rsid w:val="002345AA"/>
    <w:rsid w:val="00236474"/>
    <w:rsid w:val="002378FE"/>
    <w:rsid w:val="002413D5"/>
    <w:rsid w:val="00241ACF"/>
    <w:rsid w:val="00243FF9"/>
    <w:rsid w:val="00244DEB"/>
    <w:rsid w:val="002500D3"/>
    <w:rsid w:val="0025265F"/>
    <w:rsid w:val="002630BB"/>
    <w:rsid w:val="00266198"/>
    <w:rsid w:val="00286C87"/>
    <w:rsid w:val="0029576D"/>
    <w:rsid w:val="0029619B"/>
    <w:rsid w:val="002B06B6"/>
    <w:rsid w:val="002B613D"/>
    <w:rsid w:val="002C0F03"/>
    <w:rsid w:val="002C68AC"/>
    <w:rsid w:val="002D5236"/>
    <w:rsid w:val="002E3B27"/>
    <w:rsid w:val="002E483C"/>
    <w:rsid w:val="0030080D"/>
    <w:rsid w:val="003037A3"/>
    <w:rsid w:val="00304952"/>
    <w:rsid w:val="00310B66"/>
    <w:rsid w:val="00310D5F"/>
    <w:rsid w:val="003121C2"/>
    <w:rsid w:val="00315121"/>
    <w:rsid w:val="00316AE2"/>
    <w:rsid w:val="00321DFD"/>
    <w:rsid w:val="003364F4"/>
    <w:rsid w:val="00346036"/>
    <w:rsid w:val="003567A2"/>
    <w:rsid w:val="003647F5"/>
    <w:rsid w:val="00380875"/>
    <w:rsid w:val="003820DA"/>
    <w:rsid w:val="003A0B66"/>
    <w:rsid w:val="003A114A"/>
    <w:rsid w:val="003A4DF6"/>
    <w:rsid w:val="003A736E"/>
    <w:rsid w:val="003A7915"/>
    <w:rsid w:val="003B0F20"/>
    <w:rsid w:val="003B3A7F"/>
    <w:rsid w:val="003C03B5"/>
    <w:rsid w:val="003C130D"/>
    <w:rsid w:val="003C21FD"/>
    <w:rsid w:val="003C693E"/>
    <w:rsid w:val="003C76E6"/>
    <w:rsid w:val="003F4FD8"/>
    <w:rsid w:val="003F5ABE"/>
    <w:rsid w:val="0040257B"/>
    <w:rsid w:val="0040408F"/>
    <w:rsid w:val="004208DF"/>
    <w:rsid w:val="00421872"/>
    <w:rsid w:val="00433C8F"/>
    <w:rsid w:val="004366FE"/>
    <w:rsid w:val="004378CD"/>
    <w:rsid w:val="004444FD"/>
    <w:rsid w:val="0044663C"/>
    <w:rsid w:val="004541EF"/>
    <w:rsid w:val="004570AF"/>
    <w:rsid w:val="004574DB"/>
    <w:rsid w:val="00460E4A"/>
    <w:rsid w:val="004617F2"/>
    <w:rsid w:val="004672B9"/>
    <w:rsid w:val="00470C43"/>
    <w:rsid w:val="0047297B"/>
    <w:rsid w:val="0047403B"/>
    <w:rsid w:val="00476BED"/>
    <w:rsid w:val="004818A5"/>
    <w:rsid w:val="00491D67"/>
    <w:rsid w:val="004A0780"/>
    <w:rsid w:val="004A1EB6"/>
    <w:rsid w:val="004A634D"/>
    <w:rsid w:val="004A7ADC"/>
    <w:rsid w:val="004C4933"/>
    <w:rsid w:val="004D4AFA"/>
    <w:rsid w:val="004D5DD3"/>
    <w:rsid w:val="004D70E5"/>
    <w:rsid w:val="004E3B21"/>
    <w:rsid w:val="004E5643"/>
    <w:rsid w:val="004F6F7F"/>
    <w:rsid w:val="0050377F"/>
    <w:rsid w:val="005226C8"/>
    <w:rsid w:val="00533FFC"/>
    <w:rsid w:val="00535E2F"/>
    <w:rsid w:val="00565EFE"/>
    <w:rsid w:val="0056629C"/>
    <w:rsid w:val="00580847"/>
    <w:rsid w:val="005827AC"/>
    <w:rsid w:val="00585220"/>
    <w:rsid w:val="00590012"/>
    <w:rsid w:val="005923B8"/>
    <w:rsid w:val="005925A8"/>
    <w:rsid w:val="005A60CB"/>
    <w:rsid w:val="005B0B85"/>
    <w:rsid w:val="005C4B0B"/>
    <w:rsid w:val="005C5DCC"/>
    <w:rsid w:val="005D23AE"/>
    <w:rsid w:val="005D378A"/>
    <w:rsid w:val="005E605F"/>
    <w:rsid w:val="005E65BC"/>
    <w:rsid w:val="00602298"/>
    <w:rsid w:val="00602CBB"/>
    <w:rsid w:val="006050D1"/>
    <w:rsid w:val="00611A45"/>
    <w:rsid w:val="00611DA7"/>
    <w:rsid w:val="00612CD8"/>
    <w:rsid w:val="006166DC"/>
    <w:rsid w:val="00624A21"/>
    <w:rsid w:val="00635D3A"/>
    <w:rsid w:val="00636D39"/>
    <w:rsid w:val="0063775F"/>
    <w:rsid w:val="00646167"/>
    <w:rsid w:val="00653A31"/>
    <w:rsid w:val="00670EF8"/>
    <w:rsid w:val="0067318C"/>
    <w:rsid w:val="006910F6"/>
    <w:rsid w:val="006922D8"/>
    <w:rsid w:val="006937C8"/>
    <w:rsid w:val="006A3707"/>
    <w:rsid w:val="006A3728"/>
    <w:rsid w:val="006A76F6"/>
    <w:rsid w:val="006B111D"/>
    <w:rsid w:val="006B5AD4"/>
    <w:rsid w:val="006B7CD3"/>
    <w:rsid w:val="006C0884"/>
    <w:rsid w:val="006C1054"/>
    <w:rsid w:val="006C7881"/>
    <w:rsid w:val="006E1650"/>
    <w:rsid w:val="006F07EE"/>
    <w:rsid w:val="006F3A20"/>
    <w:rsid w:val="006F435E"/>
    <w:rsid w:val="006F61CB"/>
    <w:rsid w:val="006F72CE"/>
    <w:rsid w:val="00700E17"/>
    <w:rsid w:val="00702202"/>
    <w:rsid w:val="0071021D"/>
    <w:rsid w:val="00711944"/>
    <w:rsid w:val="00715C56"/>
    <w:rsid w:val="007227E8"/>
    <w:rsid w:val="00731BBE"/>
    <w:rsid w:val="00734BD1"/>
    <w:rsid w:val="0073575B"/>
    <w:rsid w:val="007412AA"/>
    <w:rsid w:val="007448B4"/>
    <w:rsid w:val="0074721E"/>
    <w:rsid w:val="00747FCA"/>
    <w:rsid w:val="00750D27"/>
    <w:rsid w:val="00751867"/>
    <w:rsid w:val="0075778E"/>
    <w:rsid w:val="0076663F"/>
    <w:rsid w:val="00793C13"/>
    <w:rsid w:val="00794A49"/>
    <w:rsid w:val="007C4F8B"/>
    <w:rsid w:val="007C7827"/>
    <w:rsid w:val="007E4447"/>
    <w:rsid w:val="007E7B30"/>
    <w:rsid w:val="007F1B87"/>
    <w:rsid w:val="007F5CC8"/>
    <w:rsid w:val="00803D68"/>
    <w:rsid w:val="008076E2"/>
    <w:rsid w:val="00810BD0"/>
    <w:rsid w:val="00814356"/>
    <w:rsid w:val="00846D9E"/>
    <w:rsid w:val="00852DE3"/>
    <w:rsid w:val="008702EA"/>
    <w:rsid w:val="008719BF"/>
    <w:rsid w:val="00893CDE"/>
    <w:rsid w:val="00893F6B"/>
    <w:rsid w:val="00896CD2"/>
    <w:rsid w:val="008B5DEC"/>
    <w:rsid w:val="008B5FAA"/>
    <w:rsid w:val="008C10AF"/>
    <w:rsid w:val="008C7224"/>
    <w:rsid w:val="008D05CD"/>
    <w:rsid w:val="008D5924"/>
    <w:rsid w:val="008D7681"/>
    <w:rsid w:val="008F4E65"/>
    <w:rsid w:val="009033BD"/>
    <w:rsid w:val="0090567C"/>
    <w:rsid w:val="0091137A"/>
    <w:rsid w:val="00923838"/>
    <w:rsid w:val="009312BD"/>
    <w:rsid w:val="00952585"/>
    <w:rsid w:val="009567F4"/>
    <w:rsid w:val="0096165A"/>
    <w:rsid w:val="00975836"/>
    <w:rsid w:val="00986105"/>
    <w:rsid w:val="009937E8"/>
    <w:rsid w:val="009B1856"/>
    <w:rsid w:val="009B79B1"/>
    <w:rsid w:val="009C0E7F"/>
    <w:rsid w:val="009C1CDD"/>
    <w:rsid w:val="009D047A"/>
    <w:rsid w:val="009D4847"/>
    <w:rsid w:val="009E04A4"/>
    <w:rsid w:val="009F049D"/>
    <w:rsid w:val="009F3502"/>
    <w:rsid w:val="009F5E2A"/>
    <w:rsid w:val="00A00340"/>
    <w:rsid w:val="00A0044C"/>
    <w:rsid w:val="00A019A2"/>
    <w:rsid w:val="00A02BBB"/>
    <w:rsid w:val="00A23CEC"/>
    <w:rsid w:val="00A23D2F"/>
    <w:rsid w:val="00A26DE6"/>
    <w:rsid w:val="00A33B10"/>
    <w:rsid w:val="00A42B09"/>
    <w:rsid w:val="00A4744A"/>
    <w:rsid w:val="00A53BD4"/>
    <w:rsid w:val="00A55D1C"/>
    <w:rsid w:val="00A55E3D"/>
    <w:rsid w:val="00A561A4"/>
    <w:rsid w:val="00A5722E"/>
    <w:rsid w:val="00A6197F"/>
    <w:rsid w:val="00A65CB7"/>
    <w:rsid w:val="00A66D3B"/>
    <w:rsid w:val="00A737C2"/>
    <w:rsid w:val="00A751DC"/>
    <w:rsid w:val="00A77BDF"/>
    <w:rsid w:val="00A818AF"/>
    <w:rsid w:val="00AA1B8B"/>
    <w:rsid w:val="00AB24EE"/>
    <w:rsid w:val="00AB2EA9"/>
    <w:rsid w:val="00AC0CF9"/>
    <w:rsid w:val="00AC2B4F"/>
    <w:rsid w:val="00AD0A94"/>
    <w:rsid w:val="00AD0C28"/>
    <w:rsid w:val="00AD228D"/>
    <w:rsid w:val="00AD2319"/>
    <w:rsid w:val="00AD3E11"/>
    <w:rsid w:val="00AF0BC9"/>
    <w:rsid w:val="00B01DEF"/>
    <w:rsid w:val="00B047C7"/>
    <w:rsid w:val="00B05FA7"/>
    <w:rsid w:val="00B16617"/>
    <w:rsid w:val="00B20653"/>
    <w:rsid w:val="00B2568D"/>
    <w:rsid w:val="00B61542"/>
    <w:rsid w:val="00B654EA"/>
    <w:rsid w:val="00B80D2F"/>
    <w:rsid w:val="00B81016"/>
    <w:rsid w:val="00B81695"/>
    <w:rsid w:val="00B82506"/>
    <w:rsid w:val="00B91188"/>
    <w:rsid w:val="00B9181B"/>
    <w:rsid w:val="00B91DF3"/>
    <w:rsid w:val="00BA42E4"/>
    <w:rsid w:val="00BA611D"/>
    <w:rsid w:val="00BC309E"/>
    <w:rsid w:val="00BD3941"/>
    <w:rsid w:val="00BE5D54"/>
    <w:rsid w:val="00BE6F5B"/>
    <w:rsid w:val="00BF37EC"/>
    <w:rsid w:val="00BF5D2F"/>
    <w:rsid w:val="00C00A45"/>
    <w:rsid w:val="00C01D06"/>
    <w:rsid w:val="00C01E89"/>
    <w:rsid w:val="00C022F8"/>
    <w:rsid w:val="00C10937"/>
    <w:rsid w:val="00C13CC6"/>
    <w:rsid w:val="00C14B70"/>
    <w:rsid w:val="00C15064"/>
    <w:rsid w:val="00C15999"/>
    <w:rsid w:val="00C165AD"/>
    <w:rsid w:val="00C23DFA"/>
    <w:rsid w:val="00C26813"/>
    <w:rsid w:val="00C43359"/>
    <w:rsid w:val="00C44309"/>
    <w:rsid w:val="00C46100"/>
    <w:rsid w:val="00C57D84"/>
    <w:rsid w:val="00C81888"/>
    <w:rsid w:val="00C85DF0"/>
    <w:rsid w:val="00C86787"/>
    <w:rsid w:val="00C9216D"/>
    <w:rsid w:val="00CB17F4"/>
    <w:rsid w:val="00CC2A79"/>
    <w:rsid w:val="00CC7EE0"/>
    <w:rsid w:val="00CD3536"/>
    <w:rsid w:val="00CD3D83"/>
    <w:rsid w:val="00CE346F"/>
    <w:rsid w:val="00CF4D75"/>
    <w:rsid w:val="00CF720F"/>
    <w:rsid w:val="00D01BBE"/>
    <w:rsid w:val="00D112D6"/>
    <w:rsid w:val="00D114FD"/>
    <w:rsid w:val="00D30BC0"/>
    <w:rsid w:val="00D31634"/>
    <w:rsid w:val="00D3580A"/>
    <w:rsid w:val="00D42457"/>
    <w:rsid w:val="00D50EC3"/>
    <w:rsid w:val="00D60BB5"/>
    <w:rsid w:val="00D631FE"/>
    <w:rsid w:val="00D65FAA"/>
    <w:rsid w:val="00D817F3"/>
    <w:rsid w:val="00D8449B"/>
    <w:rsid w:val="00D87188"/>
    <w:rsid w:val="00D9154A"/>
    <w:rsid w:val="00D9250B"/>
    <w:rsid w:val="00D94BE9"/>
    <w:rsid w:val="00DA10E1"/>
    <w:rsid w:val="00DA5C53"/>
    <w:rsid w:val="00DB0445"/>
    <w:rsid w:val="00DB4CE7"/>
    <w:rsid w:val="00DB5E8F"/>
    <w:rsid w:val="00DD0017"/>
    <w:rsid w:val="00DD0B98"/>
    <w:rsid w:val="00DD0C15"/>
    <w:rsid w:val="00DD6AE4"/>
    <w:rsid w:val="00DF6178"/>
    <w:rsid w:val="00DF7C9E"/>
    <w:rsid w:val="00E0598E"/>
    <w:rsid w:val="00E05B83"/>
    <w:rsid w:val="00E0770D"/>
    <w:rsid w:val="00E1123E"/>
    <w:rsid w:val="00E12985"/>
    <w:rsid w:val="00E16BCB"/>
    <w:rsid w:val="00E22579"/>
    <w:rsid w:val="00E229DC"/>
    <w:rsid w:val="00E27C07"/>
    <w:rsid w:val="00E34530"/>
    <w:rsid w:val="00E348C9"/>
    <w:rsid w:val="00E45B95"/>
    <w:rsid w:val="00E46E80"/>
    <w:rsid w:val="00E550EA"/>
    <w:rsid w:val="00E56192"/>
    <w:rsid w:val="00E57C52"/>
    <w:rsid w:val="00E612F6"/>
    <w:rsid w:val="00E6385D"/>
    <w:rsid w:val="00E657DA"/>
    <w:rsid w:val="00E66E9B"/>
    <w:rsid w:val="00E844DB"/>
    <w:rsid w:val="00EA05C0"/>
    <w:rsid w:val="00EA3731"/>
    <w:rsid w:val="00EA4BC5"/>
    <w:rsid w:val="00EA5A08"/>
    <w:rsid w:val="00EB47BD"/>
    <w:rsid w:val="00EB488C"/>
    <w:rsid w:val="00EB4B03"/>
    <w:rsid w:val="00EC3D97"/>
    <w:rsid w:val="00EC6545"/>
    <w:rsid w:val="00ED7C33"/>
    <w:rsid w:val="00EF305F"/>
    <w:rsid w:val="00EF5DB7"/>
    <w:rsid w:val="00F21BDD"/>
    <w:rsid w:val="00F34615"/>
    <w:rsid w:val="00F4553C"/>
    <w:rsid w:val="00F54BE6"/>
    <w:rsid w:val="00F54F37"/>
    <w:rsid w:val="00F7090D"/>
    <w:rsid w:val="00F80365"/>
    <w:rsid w:val="00F93910"/>
    <w:rsid w:val="00F94BDB"/>
    <w:rsid w:val="00FA3C95"/>
    <w:rsid w:val="00FB30C9"/>
    <w:rsid w:val="00FC35B2"/>
    <w:rsid w:val="00FD7659"/>
    <w:rsid w:val="00FE7B94"/>
    <w:rsid w:val="00FF2CF6"/>
    <w:rsid w:val="00FF4D3F"/>
    <w:rsid w:val="00FF6AE3"/>
    <w:rsid w:val="011B466A"/>
    <w:rsid w:val="011C44BE"/>
    <w:rsid w:val="011E1FE4"/>
    <w:rsid w:val="012D2227"/>
    <w:rsid w:val="01521C8D"/>
    <w:rsid w:val="01527EDF"/>
    <w:rsid w:val="01995B0E"/>
    <w:rsid w:val="01CF32DE"/>
    <w:rsid w:val="01DF2B34"/>
    <w:rsid w:val="01F17356"/>
    <w:rsid w:val="01F57296"/>
    <w:rsid w:val="0221497E"/>
    <w:rsid w:val="02411B93"/>
    <w:rsid w:val="026954E1"/>
    <w:rsid w:val="027D0F8C"/>
    <w:rsid w:val="02B60541"/>
    <w:rsid w:val="02D6799A"/>
    <w:rsid w:val="02F70D3E"/>
    <w:rsid w:val="033C0E47"/>
    <w:rsid w:val="0375018B"/>
    <w:rsid w:val="03A3046B"/>
    <w:rsid w:val="03C03826"/>
    <w:rsid w:val="04073203"/>
    <w:rsid w:val="04131BA8"/>
    <w:rsid w:val="04231D23"/>
    <w:rsid w:val="044B1342"/>
    <w:rsid w:val="04A8035C"/>
    <w:rsid w:val="04DF7CDC"/>
    <w:rsid w:val="05047743"/>
    <w:rsid w:val="05353DA0"/>
    <w:rsid w:val="056A3A4A"/>
    <w:rsid w:val="057272C6"/>
    <w:rsid w:val="057B186A"/>
    <w:rsid w:val="05900FD6"/>
    <w:rsid w:val="05CD222A"/>
    <w:rsid w:val="05DD246D"/>
    <w:rsid w:val="06163A0F"/>
    <w:rsid w:val="06257970"/>
    <w:rsid w:val="06BA630B"/>
    <w:rsid w:val="06F207A1"/>
    <w:rsid w:val="070954E4"/>
    <w:rsid w:val="071A149F"/>
    <w:rsid w:val="075020E6"/>
    <w:rsid w:val="07554285"/>
    <w:rsid w:val="075A2B50"/>
    <w:rsid w:val="077160BE"/>
    <w:rsid w:val="078A58ED"/>
    <w:rsid w:val="07D4164E"/>
    <w:rsid w:val="08031F33"/>
    <w:rsid w:val="085A3487"/>
    <w:rsid w:val="08687FE8"/>
    <w:rsid w:val="08BF22FE"/>
    <w:rsid w:val="08D11799"/>
    <w:rsid w:val="08F57ACE"/>
    <w:rsid w:val="09151F1E"/>
    <w:rsid w:val="095742E5"/>
    <w:rsid w:val="09B62700"/>
    <w:rsid w:val="09D43B87"/>
    <w:rsid w:val="09E35B78"/>
    <w:rsid w:val="09E518F1"/>
    <w:rsid w:val="09E828BD"/>
    <w:rsid w:val="0A014251"/>
    <w:rsid w:val="0A334D52"/>
    <w:rsid w:val="0A4F76B2"/>
    <w:rsid w:val="0A51342A"/>
    <w:rsid w:val="0A522CFE"/>
    <w:rsid w:val="0A6017FB"/>
    <w:rsid w:val="0A821835"/>
    <w:rsid w:val="0A862501"/>
    <w:rsid w:val="0AEE0C79"/>
    <w:rsid w:val="0B1A7CC0"/>
    <w:rsid w:val="0B4E1717"/>
    <w:rsid w:val="0B56577A"/>
    <w:rsid w:val="0B640F3B"/>
    <w:rsid w:val="0B6727D9"/>
    <w:rsid w:val="0B685928"/>
    <w:rsid w:val="0B700E0C"/>
    <w:rsid w:val="0B871460"/>
    <w:rsid w:val="0BB73761"/>
    <w:rsid w:val="0BD04822"/>
    <w:rsid w:val="0BD53BE7"/>
    <w:rsid w:val="0C120997"/>
    <w:rsid w:val="0C344DB1"/>
    <w:rsid w:val="0C483CD8"/>
    <w:rsid w:val="0CA43CE5"/>
    <w:rsid w:val="0CC32F3E"/>
    <w:rsid w:val="0CC954FA"/>
    <w:rsid w:val="0CE340E1"/>
    <w:rsid w:val="0D240982"/>
    <w:rsid w:val="0D2546FA"/>
    <w:rsid w:val="0D272220"/>
    <w:rsid w:val="0D4E1EA3"/>
    <w:rsid w:val="0D553231"/>
    <w:rsid w:val="0D933DC4"/>
    <w:rsid w:val="0DF465A6"/>
    <w:rsid w:val="0DF93BBD"/>
    <w:rsid w:val="0E3A10BD"/>
    <w:rsid w:val="0E3A5F83"/>
    <w:rsid w:val="0E3B3D37"/>
    <w:rsid w:val="0E867A2B"/>
    <w:rsid w:val="0EA0228A"/>
    <w:rsid w:val="0EC817E1"/>
    <w:rsid w:val="0EEE56EB"/>
    <w:rsid w:val="0EF10D38"/>
    <w:rsid w:val="0EF45FEF"/>
    <w:rsid w:val="0F144A26"/>
    <w:rsid w:val="0F184516"/>
    <w:rsid w:val="0F4B669A"/>
    <w:rsid w:val="0FA1275E"/>
    <w:rsid w:val="0FB87AA7"/>
    <w:rsid w:val="0FC71A98"/>
    <w:rsid w:val="0FDC5544"/>
    <w:rsid w:val="0FE663C2"/>
    <w:rsid w:val="0FFC0273"/>
    <w:rsid w:val="100F6863"/>
    <w:rsid w:val="101F6CD7"/>
    <w:rsid w:val="10437371"/>
    <w:rsid w:val="10480E2B"/>
    <w:rsid w:val="10545A22"/>
    <w:rsid w:val="107B45E5"/>
    <w:rsid w:val="107C30FC"/>
    <w:rsid w:val="108A2FB1"/>
    <w:rsid w:val="108D2CE2"/>
    <w:rsid w:val="10DE1449"/>
    <w:rsid w:val="10E32902"/>
    <w:rsid w:val="10E943BC"/>
    <w:rsid w:val="110C1E59"/>
    <w:rsid w:val="111D7BC2"/>
    <w:rsid w:val="11313335"/>
    <w:rsid w:val="11592BC4"/>
    <w:rsid w:val="118045F5"/>
    <w:rsid w:val="11F744C2"/>
    <w:rsid w:val="122D2087"/>
    <w:rsid w:val="127C39BF"/>
    <w:rsid w:val="12A762DD"/>
    <w:rsid w:val="12AB744F"/>
    <w:rsid w:val="12BB3B36"/>
    <w:rsid w:val="12CC5D44"/>
    <w:rsid w:val="12D60970"/>
    <w:rsid w:val="12F77E1B"/>
    <w:rsid w:val="131E5E73"/>
    <w:rsid w:val="13255FEB"/>
    <w:rsid w:val="134E12F7"/>
    <w:rsid w:val="13581385"/>
    <w:rsid w:val="13806B2E"/>
    <w:rsid w:val="13C702B9"/>
    <w:rsid w:val="14096B23"/>
    <w:rsid w:val="14154042"/>
    <w:rsid w:val="14504752"/>
    <w:rsid w:val="14593E59"/>
    <w:rsid w:val="146124BC"/>
    <w:rsid w:val="14726477"/>
    <w:rsid w:val="148D505F"/>
    <w:rsid w:val="149C7998"/>
    <w:rsid w:val="14DF0DB5"/>
    <w:rsid w:val="15477903"/>
    <w:rsid w:val="15A8272D"/>
    <w:rsid w:val="15CA22E2"/>
    <w:rsid w:val="15D90186"/>
    <w:rsid w:val="16276709"/>
    <w:rsid w:val="163A3121"/>
    <w:rsid w:val="164825DB"/>
    <w:rsid w:val="16E15B36"/>
    <w:rsid w:val="16F41113"/>
    <w:rsid w:val="171A4BA4"/>
    <w:rsid w:val="171C091C"/>
    <w:rsid w:val="174A5489"/>
    <w:rsid w:val="17554D13"/>
    <w:rsid w:val="176C2274"/>
    <w:rsid w:val="178F7340"/>
    <w:rsid w:val="179B3F36"/>
    <w:rsid w:val="17B500E2"/>
    <w:rsid w:val="17E70F2A"/>
    <w:rsid w:val="17EC6540"/>
    <w:rsid w:val="182932F0"/>
    <w:rsid w:val="18357AA5"/>
    <w:rsid w:val="187D188E"/>
    <w:rsid w:val="18BC23B6"/>
    <w:rsid w:val="18CB649A"/>
    <w:rsid w:val="18CD0120"/>
    <w:rsid w:val="18E13BCB"/>
    <w:rsid w:val="18FC0A05"/>
    <w:rsid w:val="1901601B"/>
    <w:rsid w:val="19113420"/>
    <w:rsid w:val="193249D5"/>
    <w:rsid w:val="19371A3D"/>
    <w:rsid w:val="194D4555"/>
    <w:rsid w:val="196A0064"/>
    <w:rsid w:val="19B66CA7"/>
    <w:rsid w:val="19C72DC1"/>
    <w:rsid w:val="19EB7AF6"/>
    <w:rsid w:val="19FB0CBC"/>
    <w:rsid w:val="1A197394"/>
    <w:rsid w:val="1A3B49D3"/>
    <w:rsid w:val="1A4E5290"/>
    <w:rsid w:val="1A734CF7"/>
    <w:rsid w:val="1ABF1CEA"/>
    <w:rsid w:val="1AF220BF"/>
    <w:rsid w:val="1AF44089"/>
    <w:rsid w:val="1B525A3A"/>
    <w:rsid w:val="1B542D7A"/>
    <w:rsid w:val="1B57694D"/>
    <w:rsid w:val="1B58096C"/>
    <w:rsid w:val="1B5D0CF4"/>
    <w:rsid w:val="1B776A68"/>
    <w:rsid w:val="1BB47EC1"/>
    <w:rsid w:val="1BD15BBA"/>
    <w:rsid w:val="1BF60EA2"/>
    <w:rsid w:val="1BFB4FA4"/>
    <w:rsid w:val="1C1B3898"/>
    <w:rsid w:val="1C511068"/>
    <w:rsid w:val="1C7134B8"/>
    <w:rsid w:val="1C7A236C"/>
    <w:rsid w:val="1CB05D8E"/>
    <w:rsid w:val="1CE819CC"/>
    <w:rsid w:val="1D126322"/>
    <w:rsid w:val="1D1C78C7"/>
    <w:rsid w:val="1D507571"/>
    <w:rsid w:val="1D6512B9"/>
    <w:rsid w:val="1D6848BB"/>
    <w:rsid w:val="1D772D50"/>
    <w:rsid w:val="1D835251"/>
    <w:rsid w:val="1DB25B36"/>
    <w:rsid w:val="1DD41F50"/>
    <w:rsid w:val="1DFE3E65"/>
    <w:rsid w:val="1E2C58E8"/>
    <w:rsid w:val="1E326C77"/>
    <w:rsid w:val="1E5B4722"/>
    <w:rsid w:val="1E7554E1"/>
    <w:rsid w:val="1E7E1EBC"/>
    <w:rsid w:val="1EA41923"/>
    <w:rsid w:val="1EA82360"/>
    <w:rsid w:val="1EEA12FF"/>
    <w:rsid w:val="1F5A0233"/>
    <w:rsid w:val="1F63358C"/>
    <w:rsid w:val="1F7C464D"/>
    <w:rsid w:val="1FA65675"/>
    <w:rsid w:val="1FC658C9"/>
    <w:rsid w:val="2004056C"/>
    <w:rsid w:val="201B5C14"/>
    <w:rsid w:val="20623219"/>
    <w:rsid w:val="2063580D"/>
    <w:rsid w:val="206A26F8"/>
    <w:rsid w:val="20796DDF"/>
    <w:rsid w:val="208A4B48"/>
    <w:rsid w:val="20B816B5"/>
    <w:rsid w:val="2103170F"/>
    <w:rsid w:val="210D5718"/>
    <w:rsid w:val="211014F1"/>
    <w:rsid w:val="21411C9A"/>
    <w:rsid w:val="2144119B"/>
    <w:rsid w:val="2155573C"/>
    <w:rsid w:val="21611D4D"/>
    <w:rsid w:val="216F5067"/>
    <w:rsid w:val="219E4D4F"/>
    <w:rsid w:val="21A67760"/>
    <w:rsid w:val="21D267A7"/>
    <w:rsid w:val="21DC4F15"/>
    <w:rsid w:val="22325497"/>
    <w:rsid w:val="22370B9B"/>
    <w:rsid w:val="224D2894"/>
    <w:rsid w:val="22592A24"/>
    <w:rsid w:val="22727A3B"/>
    <w:rsid w:val="22A81D4C"/>
    <w:rsid w:val="22D622C7"/>
    <w:rsid w:val="232272BA"/>
    <w:rsid w:val="23675615"/>
    <w:rsid w:val="23A97579"/>
    <w:rsid w:val="23C91E2B"/>
    <w:rsid w:val="23CE22DB"/>
    <w:rsid w:val="23DA7B95"/>
    <w:rsid w:val="23E56353"/>
    <w:rsid w:val="240F5A90"/>
    <w:rsid w:val="24885842"/>
    <w:rsid w:val="24A73F1B"/>
    <w:rsid w:val="24B71C84"/>
    <w:rsid w:val="24F52D0A"/>
    <w:rsid w:val="25423C43"/>
    <w:rsid w:val="256F266F"/>
    <w:rsid w:val="2580651A"/>
    <w:rsid w:val="259465A5"/>
    <w:rsid w:val="259C5AEB"/>
    <w:rsid w:val="25A247EC"/>
    <w:rsid w:val="25BA7C7E"/>
    <w:rsid w:val="25DE21B6"/>
    <w:rsid w:val="25E44CFA"/>
    <w:rsid w:val="2602467A"/>
    <w:rsid w:val="26061132"/>
    <w:rsid w:val="261F5D33"/>
    <w:rsid w:val="26243349"/>
    <w:rsid w:val="26543C2E"/>
    <w:rsid w:val="26591245"/>
    <w:rsid w:val="268545A7"/>
    <w:rsid w:val="268B161A"/>
    <w:rsid w:val="2696443B"/>
    <w:rsid w:val="26B446CD"/>
    <w:rsid w:val="271E5FEA"/>
    <w:rsid w:val="2767173F"/>
    <w:rsid w:val="278C4033"/>
    <w:rsid w:val="279F712B"/>
    <w:rsid w:val="27B0758A"/>
    <w:rsid w:val="28247630"/>
    <w:rsid w:val="2835183D"/>
    <w:rsid w:val="2852419D"/>
    <w:rsid w:val="286001FB"/>
    <w:rsid w:val="2886653D"/>
    <w:rsid w:val="28A32C4B"/>
    <w:rsid w:val="28DF59D9"/>
    <w:rsid w:val="28FD7399"/>
    <w:rsid w:val="29086F52"/>
    <w:rsid w:val="29111E03"/>
    <w:rsid w:val="292F0982"/>
    <w:rsid w:val="294855A0"/>
    <w:rsid w:val="297F5466"/>
    <w:rsid w:val="29950680"/>
    <w:rsid w:val="299B1B74"/>
    <w:rsid w:val="299D58EC"/>
    <w:rsid w:val="29F51284"/>
    <w:rsid w:val="2A2E4796"/>
    <w:rsid w:val="2A3049B2"/>
    <w:rsid w:val="2A420242"/>
    <w:rsid w:val="2A4E308A"/>
    <w:rsid w:val="2A5C1303"/>
    <w:rsid w:val="2A64640A"/>
    <w:rsid w:val="2A701253"/>
    <w:rsid w:val="2A9F5694"/>
    <w:rsid w:val="2AC375D4"/>
    <w:rsid w:val="2ADF24B8"/>
    <w:rsid w:val="2AE337D3"/>
    <w:rsid w:val="2AE92B8B"/>
    <w:rsid w:val="2AFD0A94"/>
    <w:rsid w:val="2B185933"/>
    <w:rsid w:val="2B786611"/>
    <w:rsid w:val="2B944ACD"/>
    <w:rsid w:val="2BDD6474"/>
    <w:rsid w:val="2C311191"/>
    <w:rsid w:val="2C416D72"/>
    <w:rsid w:val="2C581F9E"/>
    <w:rsid w:val="2C646B95"/>
    <w:rsid w:val="2C8D3F94"/>
    <w:rsid w:val="2C950AFD"/>
    <w:rsid w:val="2CE37ABA"/>
    <w:rsid w:val="2CE90E48"/>
    <w:rsid w:val="2CEB2E12"/>
    <w:rsid w:val="2CF717B7"/>
    <w:rsid w:val="2D494239"/>
    <w:rsid w:val="2D6501FC"/>
    <w:rsid w:val="2DD13DB6"/>
    <w:rsid w:val="2E057F04"/>
    <w:rsid w:val="2E3026AB"/>
    <w:rsid w:val="2E4E5B25"/>
    <w:rsid w:val="2E6C46A3"/>
    <w:rsid w:val="2E861327"/>
    <w:rsid w:val="2EA72180"/>
    <w:rsid w:val="2EB57548"/>
    <w:rsid w:val="2ECB2EFB"/>
    <w:rsid w:val="2F0B154A"/>
    <w:rsid w:val="2F5C288F"/>
    <w:rsid w:val="2F66436B"/>
    <w:rsid w:val="2F7075FF"/>
    <w:rsid w:val="2F783E4D"/>
    <w:rsid w:val="2F947791"/>
    <w:rsid w:val="2FA86D99"/>
    <w:rsid w:val="2FCA6D0F"/>
    <w:rsid w:val="2FE210F8"/>
    <w:rsid w:val="30142680"/>
    <w:rsid w:val="30A56CD5"/>
    <w:rsid w:val="30B17ECF"/>
    <w:rsid w:val="30C145B6"/>
    <w:rsid w:val="30C3032E"/>
    <w:rsid w:val="30E80019"/>
    <w:rsid w:val="30F2169A"/>
    <w:rsid w:val="315405CF"/>
    <w:rsid w:val="31556AAC"/>
    <w:rsid w:val="31576CC8"/>
    <w:rsid w:val="31592A40"/>
    <w:rsid w:val="316C4649"/>
    <w:rsid w:val="3182062E"/>
    <w:rsid w:val="318C4BC4"/>
    <w:rsid w:val="3196159F"/>
    <w:rsid w:val="319A0963"/>
    <w:rsid w:val="319B4CA7"/>
    <w:rsid w:val="31B46A24"/>
    <w:rsid w:val="31C0486E"/>
    <w:rsid w:val="31C4449A"/>
    <w:rsid w:val="31D976DD"/>
    <w:rsid w:val="32145A07"/>
    <w:rsid w:val="32456E89"/>
    <w:rsid w:val="32560D2E"/>
    <w:rsid w:val="32584AA6"/>
    <w:rsid w:val="32AA2E28"/>
    <w:rsid w:val="32E26A66"/>
    <w:rsid w:val="32EE540A"/>
    <w:rsid w:val="3307027A"/>
    <w:rsid w:val="33134E71"/>
    <w:rsid w:val="332357ED"/>
    <w:rsid w:val="333252F7"/>
    <w:rsid w:val="33641229"/>
    <w:rsid w:val="338673F1"/>
    <w:rsid w:val="339B7340"/>
    <w:rsid w:val="34207846"/>
    <w:rsid w:val="342D5ABF"/>
    <w:rsid w:val="347D07F4"/>
    <w:rsid w:val="348451A1"/>
    <w:rsid w:val="34873421"/>
    <w:rsid w:val="34951FE2"/>
    <w:rsid w:val="349C3C37"/>
    <w:rsid w:val="34AE6BFF"/>
    <w:rsid w:val="34CC52D7"/>
    <w:rsid w:val="34F14D3E"/>
    <w:rsid w:val="34F62354"/>
    <w:rsid w:val="35215623"/>
    <w:rsid w:val="352F0382"/>
    <w:rsid w:val="354F0DFC"/>
    <w:rsid w:val="356203CC"/>
    <w:rsid w:val="357E0CC8"/>
    <w:rsid w:val="35C52022"/>
    <w:rsid w:val="35D72186"/>
    <w:rsid w:val="35EF72F8"/>
    <w:rsid w:val="35F66AB0"/>
    <w:rsid w:val="35F76384"/>
    <w:rsid w:val="35FA5E74"/>
    <w:rsid w:val="36163147"/>
    <w:rsid w:val="361E2B75"/>
    <w:rsid w:val="364A6DFC"/>
    <w:rsid w:val="369B7657"/>
    <w:rsid w:val="36AE1139"/>
    <w:rsid w:val="36C56482"/>
    <w:rsid w:val="36C941C4"/>
    <w:rsid w:val="36F11025"/>
    <w:rsid w:val="3700570C"/>
    <w:rsid w:val="37500442"/>
    <w:rsid w:val="37896C52"/>
    <w:rsid w:val="37985945"/>
    <w:rsid w:val="37AB5678"/>
    <w:rsid w:val="37DA5F5D"/>
    <w:rsid w:val="38072EB2"/>
    <w:rsid w:val="381274A5"/>
    <w:rsid w:val="381E5111"/>
    <w:rsid w:val="38213B8C"/>
    <w:rsid w:val="38A14611"/>
    <w:rsid w:val="38A86D47"/>
    <w:rsid w:val="38C22C79"/>
    <w:rsid w:val="3934169D"/>
    <w:rsid w:val="395A55A8"/>
    <w:rsid w:val="397F500E"/>
    <w:rsid w:val="39B27192"/>
    <w:rsid w:val="39B8695A"/>
    <w:rsid w:val="39F33306"/>
    <w:rsid w:val="3A100A68"/>
    <w:rsid w:val="3A26548A"/>
    <w:rsid w:val="3A401F29"/>
    <w:rsid w:val="3A451DB4"/>
    <w:rsid w:val="3A7A7584"/>
    <w:rsid w:val="3A8D375B"/>
    <w:rsid w:val="3AA0348E"/>
    <w:rsid w:val="3AA23689"/>
    <w:rsid w:val="3AAA7E69"/>
    <w:rsid w:val="3AAC27E9"/>
    <w:rsid w:val="3AB64A60"/>
    <w:rsid w:val="3B043A1D"/>
    <w:rsid w:val="3B27770B"/>
    <w:rsid w:val="3B411001"/>
    <w:rsid w:val="3B530501"/>
    <w:rsid w:val="3B651FE2"/>
    <w:rsid w:val="3B660234"/>
    <w:rsid w:val="3C0B4511"/>
    <w:rsid w:val="3C153A08"/>
    <w:rsid w:val="3C477110"/>
    <w:rsid w:val="3C5C5193"/>
    <w:rsid w:val="3C7945AF"/>
    <w:rsid w:val="3C8D17F0"/>
    <w:rsid w:val="3CBB635D"/>
    <w:rsid w:val="3CD3774B"/>
    <w:rsid w:val="3CFB49AC"/>
    <w:rsid w:val="3D1837B0"/>
    <w:rsid w:val="3D2263DC"/>
    <w:rsid w:val="3DB41ED8"/>
    <w:rsid w:val="3DBB5DC7"/>
    <w:rsid w:val="3DDB658B"/>
    <w:rsid w:val="3E1321C9"/>
    <w:rsid w:val="3E611D45"/>
    <w:rsid w:val="3E6B5B61"/>
    <w:rsid w:val="3E8C7FF7"/>
    <w:rsid w:val="3EE53B65"/>
    <w:rsid w:val="3EE871B2"/>
    <w:rsid w:val="3F1E7077"/>
    <w:rsid w:val="3F253F62"/>
    <w:rsid w:val="3F5F4168"/>
    <w:rsid w:val="3F8618F2"/>
    <w:rsid w:val="3F8844F1"/>
    <w:rsid w:val="3F8F587F"/>
    <w:rsid w:val="3F964E60"/>
    <w:rsid w:val="3FAB3A69"/>
    <w:rsid w:val="3FB35A12"/>
    <w:rsid w:val="3FBA6DA0"/>
    <w:rsid w:val="3FC419CD"/>
    <w:rsid w:val="400D3374"/>
    <w:rsid w:val="4024246B"/>
    <w:rsid w:val="403F2E01"/>
    <w:rsid w:val="406B1E48"/>
    <w:rsid w:val="40880C4C"/>
    <w:rsid w:val="40994C08"/>
    <w:rsid w:val="40A40D4F"/>
    <w:rsid w:val="40B3559D"/>
    <w:rsid w:val="40BA656D"/>
    <w:rsid w:val="40CB28E7"/>
    <w:rsid w:val="40D23C76"/>
    <w:rsid w:val="40D914A8"/>
    <w:rsid w:val="40F36293"/>
    <w:rsid w:val="411524B4"/>
    <w:rsid w:val="413B181B"/>
    <w:rsid w:val="41735459"/>
    <w:rsid w:val="419B2E13"/>
    <w:rsid w:val="41A03D74"/>
    <w:rsid w:val="41A35612"/>
    <w:rsid w:val="41E00614"/>
    <w:rsid w:val="42164036"/>
    <w:rsid w:val="42201879"/>
    <w:rsid w:val="423177C4"/>
    <w:rsid w:val="42A81132"/>
    <w:rsid w:val="42BF647C"/>
    <w:rsid w:val="42ED352D"/>
    <w:rsid w:val="43574906"/>
    <w:rsid w:val="43754D8C"/>
    <w:rsid w:val="43937B6D"/>
    <w:rsid w:val="439671DC"/>
    <w:rsid w:val="439B2A45"/>
    <w:rsid w:val="439C056B"/>
    <w:rsid w:val="43AD2778"/>
    <w:rsid w:val="43AF029E"/>
    <w:rsid w:val="43D9356D"/>
    <w:rsid w:val="440B05C1"/>
    <w:rsid w:val="440B0B14"/>
    <w:rsid w:val="441A3802"/>
    <w:rsid w:val="44564BBE"/>
    <w:rsid w:val="44CC366D"/>
    <w:rsid w:val="451505D5"/>
    <w:rsid w:val="45284A5E"/>
    <w:rsid w:val="456B6431"/>
    <w:rsid w:val="4582210E"/>
    <w:rsid w:val="46192347"/>
    <w:rsid w:val="46405B25"/>
    <w:rsid w:val="465B470D"/>
    <w:rsid w:val="46696E2A"/>
    <w:rsid w:val="4681048C"/>
    <w:rsid w:val="46911EDD"/>
    <w:rsid w:val="46CA2BEE"/>
    <w:rsid w:val="46E03610"/>
    <w:rsid w:val="46EB3CE3"/>
    <w:rsid w:val="470E79D1"/>
    <w:rsid w:val="472D7E58"/>
    <w:rsid w:val="47874EA9"/>
    <w:rsid w:val="47A6632A"/>
    <w:rsid w:val="47A67C0A"/>
    <w:rsid w:val="47B44676"/>
    <w:rsid w:val="47D6229D"/>
    <w:rsid w:val="47D97FDF"/>
    <w:rsid w:val="4803701A"/>
    <w:rsid w:val="480C5CBF"/>
    <w:rsid w:val="48272AF9"/>
    <w:rsid w:val="484F02A2"/>
    <w:rsid w:val="48DC7D87"/>
    <w:rsid w:val="48FD7CFE"/>
    <w:rsid w:val="49211C3E"/>
    <w:rsid w:val="492928A1"/>
    <w:rsid w:val="49437E06"/>
    <w:rsid w:val="494B2CDA"/>
    <w:rsid w:val="49521DF7"/>
    <w:rsid w:val="49530312"/>
    <w:rsid w:val="49957F36"/>
    <w:rsid w:val="49B04D70"/>
    <w:rsid w:val="49C8668D"/>
    <w:rsid w:val="49ED64C9"/>
    <w:rsid w:val="49EF3AEA"/>
    <w:rsid w:val="4A325785"/>
    <w:rsid w:val="4AF36E2F"/>
    <w:rsid w:val="4B48499E"/>
    <w:rsid w:val="4B4E65EF"/>
    <w:rsid w:val="4B876D4C"/>
    <w:rsid w:val="4B9A5CD8"/>
    <w:rsid w:val="4BC0573E"/>
    <w:rsid w:val="4BC44B03"/>
    <w:rsid w:val="4BDB5372"/>
    <w:rsid w:val="4BFA0524"/>
    <w:rsid w:val="4C0A0767"/>
    <w:rsid w:val="4C1E06B7"/>
    <w:rsid w:val="4C2A705C"/>
    <w:rsid w:val="4C2D08FA"/>
    <w:rsid w:val="4C417F01"/>
    <w:rsid w:val="4C7A32E7"/>
    <w:rsid w:val="4C7C718B"/>
    <w:rsid w:val="4CA0731E"/>
    <w:rsid w:val="4CA23096"/>
    <w:rsid w:val="4CA7245A"/>
    <w:rsid w:val="4CFA4C80"/>
    <w:rsid w:val="4CFE326D"/>
    <w:rsid w:val="4D0E4287"/>
    <w:rsid w:val="4D123CF0"/>
    <w:rsid w:val="4D297313"/>
    <w:rsid w:val="4D447CA9"/>
    <w:rsid w:val="4D461C73"/>
    <w:rsid w:val="4D6A3FBD"/>
    <w:rsid w:val="4D6D36A4"/>
    <w:rsid w:val="4DA2520B"/>
    <w:rsid w:val="4DAD3AA0"/>
    <w:rsid w:val="4DBC0187"/>
    <w:rsid w:val="4E023E15"/>
    <w:rsid w:val="4E191136"/>
    <w:rsid w:val="4E3A0251"/>
    <w:rsid w:val="4E7D4C50"/>
    <w:rsid w:val="4EC2357B"/>
    <w:rsid w:val="4EE71234"/>
    <w:rsid w:val="4F100820"/>
    <w:rsid w:val="4F161B19"/>
    <w:rsid w:val="4F3B50DC"/>
    <w:rsid w:val="4F400944"/>
    <w:rsid w:val="4F4028E5"/>
    <w:rsid w:val="4F822D0B"/>
    <w:rsid w:val="4FE457AA"/>
    <w:rsid w:val="4FFE18CB"/>
    <w:rsid w:val="500951DA"/>
    <w:rsid w:val="502A587C"/>
    <w:rsid w:val="50306C0B"/>
    <w:rsid w:val="506B379F"/>
    <w:rsid w:val="507A635B"/>
    <w:rsid w:val="50B60EBE"/>
    <w:rsid w:val="50B6598C"/>
    <w:rsid w:val="50D21A70"/>
    <w:rsid w:val="50D70E34"/>
    <w:rsid w:val="50E579F5"/>
    <w:rsid w:val="510C31D4"/>
    <w:rsid w:val="514207FD"/>
    <w:rsid w:val="51426BF5"/>
    <w:rsid w:val="51510BE7"/>
    <w:rsid w:val="51556929"/>
    <w:rsid w:val="516A3CD7"/>
    <w:rsid w:val="517D7C2E"/>
    <w:rsid w:val="51A73905"/>
    <w:rsid w:val="522602C5"/>
    <w:rsid w:val="52375831"/>
    <w:rsid w:val="52383B54"/>
    <w:rsid w:val="523C7B8D"/>
    <w:rsid w:val="52640EAD"/>
    <w:rsid w:val="52846D9A"/>
    <w:rsid w:val="52987A1B"/>
    <w:rsid w:val="529A65BD"/>
    <w:rsid w:val="52A35472"/>
    <w:rsid w:val="52B07B8F"/>
    <w:rsid w:val="52BC29D7"/>
    <w:rsid w:val="52C74869"/>
    <w:rsid w:val="52D95337"/>
    <w:rsid w:val="52E37F64"/>
    <w:rsid w:val="532D61C2"/>
    <w:rsid w:val="533D727A"/>
    <w:rsid w:val="53476745"/>
    <w:rsid w:val="534C78B7"/>
    <w:rsid w:val="534C7CB4"/>
    <w:rsid w:val="53557428"/>
    <w:rsid w:val="535D1AC5"/>
    <w:rsid w:val="53B042EA"/>
    <w:rsid w:val="53BC7CB1"/>
    <w:rsid w:val="53D855EF"/>
    <w:rsid w:val="53DB2795"/>
    <w:rsid w:val="545D5AF4"/>
    <w:rsid w:val="546E1D69"/>
    <w:rsid w:val="54896BD1"/>
    <w:rsid w:val="54A43723"/>
    <w:rsid w:val="54DB230D"/>
    <w:rsid w:val="54F16968"/>
    <w:rsid w:val="5512068D"/>
    <w:rsid w:val="551D59AF"/>
    <w:rsid w:val="55944C0E"/>
    <w:rsid w:val="55A454F9"/>
    <w:rsid w:val="55B02282"/>
    <w:rsid w:val="55F10BEA"/>
    <w:rsid w:val="55F61D5C"/>
    <w:rsid w:val="560627D4"/>
    <w:rsid w:val="5628530C"/>
    <w:rsid w:val="563A60ED"/>
    <w:rsid w:val="5647080A"/>
    <w:rsid w:val="566E223B"/>
    <w:rsid w:val="56927CD7"/>
    <w:rsid w:val="56EB388B"/>
    <w:rsid w:val="57236B81"/>
    <w:rsid w:val="57437223"/>
    <w:rsid w:val="576D24F2"/>
    <w:rsid w:val="576D3087"/>
    <w:rsid w:val="57F10A2D"/>
    <w:rsid w:val="580E15DF"/>
    <w:rsid w:val="58360B36"/>
    <w:rsid w:val="584D65AC"/>
    <w:rsid w:val="58676F42"/>
    <w:rsid w:val="58A81A34"/>
    <w:rsid w:val="58DF4D2A"/>
    <w:rsid w:val="58F46A27"/>
    <w:rsid w:val="593A06B5"/>
    <w:rsid w:val="593E5EF4"/>
    <w:rsid w:val="59805FE2"/>
    <w:rsid w:val="59967ADE"/>
    <w:rsid w:val="59E720E8"/>
    <w:rsid w:val="59F24AEF"/>
    <w:rsid w:val="59F42A57"/>
    <w:rsid w:val="5A094754"/>
    <w:rsid w:val="5A276988"/>
    <w:rsid w:val="5A2F6C4D"/>
    <w:rsid w:val="5A762450"/>
    <w:rsid w:val="5A81253D"/>
    <w:rsid w:val="5AC35A6B"/>
    <w:rsid w:val="5AD76600"/>
    <w:rsid w:val="5AF80325"/>
    <w:rsid w:val="5B435A44"/>
    <w:rsid w:val="5B726329"/>
    <w:rsid w:val="5BA5225B"/>
    <w:rsid w:val="5BD111F4"/>
    <w:rsid w:val="5BEF34D6"/>
    <w:rsid w:val="5C067861"/>
    <w:rsid w:val="5C245875"/>
    <w:rsid w:val="5C5C2BDB"/>
    <w:rsid w:val="5C9C18B0"/>
    <w:rsid w:val="5CC86EA4"/>
    <w:rsid w:val="5CDD77D2"/>
    <w:rsid w:val="5CE5193F"/>
    <w:rsid w:val="5CF35248"/>
    <w:rsid w:val="5CF76AE6"/>
    <w:rsid w:val="5D1D4073"/>
    <w:rsid w:val="5D3563A6"/>
    <w:rsid w:val="5D7A7524"/>
    <w:rsid w:val="5D7D3686"/>
    <w:rsid w:val="5D815265"/>
    <w:rsid w:val="5D9562FF"/>
    <w:rsid w:val="5DC50992"/>
    <w:rsid w:val="5DD5494D"/>
    <w:rsid w:val="5E0A721F"/>
    <w:rsid w:val="5E3D507A"/>
    <w:rsid w:val="5E3E6996"/>
    <w:rsid w:val="5E766130"/>
    <w:rsid w:val="5EA74243"/>
    <w:rsid w:val="5EA93E10"/>
    <w:rsid w:val="5ED846F5"/>
    <w:rsid w:val="5F025C16"/>
    <w:rsid w:val="5F243677"/>
    <w:rsid w:val="5F4A16A1"/>
    <w:rsid w:val="5F6E5059"/>
    <w:rsid w:val="5F7D1CFF"/>
    <w:rsid w:val="5F7F7267"/>
    <w:rsid w:val="5F9C69B7"/>
    <w:rsid w:val="5FAA6092"/>
    <w:rsid w:val="5FB939A4"/>
    <w:rsid w:val="5FBC4017"/>
    <w:rsid w:val="5FC627A0"/>
    <w:rsid w:val="60367925"/>
    <w:rsid w:val="604F09E7"/>
    <w:rsid w:val="605A0263"/>
    <w:rsid w:val="607E307A"/>
    <w:rsid w:val="60870181"/>
    <w:rsid w:val="6098413C"/>
    <w:rsid w:val="60A32AE1"/>
    <w:rsid w:val="60BB607C"/>
    <w:rsid w:val="6130766C"/>
    <w:rsid w:val="614C4F26"/>
    <w:rsid w:val="6186668A"/>
    <w:rsid w:val="61BC20AC"/>
    <w:rsid w:val="61C471B3"/>
    <w:rsid w:val="61CD165F"/>
    <w:rsid w:val="61DC7186"/>
    <w:rsid w:val="621F0086"/>
    <w:rsid w:val="623844F4"/>
    <w:rsid w:val="62600C89"/>
    <w:rsid w:val="6260512D"/>
    <w:rsid w:val="62766E03"/>
    <w:rsid w:val="629F060D"/>
    <w:rsid w:val="62A019CE"/>
    <w:rsid w:val="62A274F4"/>
    <w:rsid w:val="62A32B16"/>
    <w:rsid w:val="62C470ED"/>
    <w:rsid w:val="62EF305A"/>
    <w:rsid w:val="62EF64B1"/>
    <w:rsid w:val="62F87114"/>
    <w:rsid w:val="630641F5"/>
    <w:rsid w:val="632411E5"/>
    <w:rsid w:val="63471E49"/>
    <w:rsid w:val="634E31D8"/>
    <w:rsid w:val="63520F1A"/>
    <w:rsid w:val="63531F8D"/>
    <w:rsid w:val="637F5A87"/>
    <w:rsid w:val="638547B0"/>
    <w:rsid w:val="63870498"/>
    <w:rsid w:val="638C227F"/>
    <w:rsid w:val="639B7CD8"/>
    <w:rsid w:val="63E15DFA"/>
    <w:rsid w:val="63EB6C79"/>
    <w:rsid w:val="63F01943"/>
    <w:rsid w:val="63FE69AC"/>
    <w:rsid w:val="64032214"/>
    <w:rsid w:val="64191A38"/>
    <w:rsid w:val="642301C1"/>
    <w:rsid w:val="64256973"/>
    <w:rsid w:val="64283919"/>
    <w:rsid w:val="64373C6C"/>
    <w:rsid w:val="64590086"/>
    <w:rsid w:val="6468651B"/>
    <w:rsid w:val="647E0EAE"/>
    <w:rsid w:val="64901CDF"/>
    <w:rsid w:val="64925346"/>
    <w:rsid w:val="64E102CB"/>
    <w:rsid w:val="64E12312"/>
    <w:rsid w:val="64E5191A"/>
    <w:rsid w:val="65042907"/>
    <w:rsid w:val="65200BA4"/>
    <w:rsid w:val="65846462"/>
    <w:rsid w:val="65982E30"/>
    <w:rsid w:val="65A34405"/>
    <w:rsid w:val="65A43583"/>
    <w:rsid w:val="65AD7581"/>
    <w:rsid w:val="65B6481B"/>
    <w:rsid w:val="65B71508"/>
    <w:rsid w:val="65D73958"/>
    <w:rsid w:val="65DB74FA"/>
    <w:rsid w:val="65DE4CE7"/>
    <w:rsid w:val="65F53DDF"/>
    <w:rsid w:val="664B1C51"/>
    <w:rsid w:val="665916DD"/>
    <w:rsid w:val="66C51A03"/>
    <w:rsid w:val="66D734E4"/>
    <w:rsid w:val="6707201B"/>
    <w:rsid w:val="675C6E0C"/>
    <w:rsid w:val="67DF08A2"/>
    <w:rsid w:val="67FD341E"/>
    <w:rsid w:val="680227E3"/>
    <w:rsid w:val="685748DD"/>
    <w:rsid w:val="68795708"/>
    <w:rsid w:val="68FE11FC"/>
    <w:rsid w:val="690C457B"/>
    <w:rsid w:val="691B0000"/>
    <w:rsid w:val="6943083F"/>
    <w:rsid w:val="69436C88"/>
    <w:rsid w:val="697119CE"/>
    <w:rsid w:val="69823BDB"/>
    <w:rsid w:val="69912070"/>
    <w:rsid w:val="69AC2A06"/>
    <w:rsid w:val="69B35505"/>
    <w:rsid w:val="69B705EC"/>
    <w:rsid w:val="69FA10B6"/>
    <w:rsid w:val="6A2133F4"/>
    <w:rsid w:val="6A510DDC"/>
    <w:rsid w:val="6A5D1F52"/>
    <w:rsid w:val="6A7E25F5"/>
    <w:rsid w:val="6A9E2C97"/>
    <w:rsid w:val="6AF059AE"/>
    <w:rsid w:val="6B225676"/>
    <w:rsid w:val="6B2D5DC9"/>
    <w:rsid w:val="6B3D3F98"/>
    <w:rsid w:val="6B3E1D84"/>
    <w:rsid w:val="6B442F1F"/>
    <w:rsid w:val="6B596BBE"/>
    <w:rsid w:val="6B7E03D2"/>
    <w:rsid w:val="6BA442DD"/>
    <w:rsid w:val="6BEE7306"/>
    <w:rsid w:val="6BF608B1"/>
    <w:rsid w:val="6C187187"/>
    <w:rsid w:val="6C537AB1"/>
    <w:rsid w:val="6C6B4DFB"/>
    <w:rsid w:val="6C8859AD"/>
    <w:rsid w:val="6C901A08"/>
    <w:rsid w:val="6C904861"/>
    <w:rsid w:val="6D147240"/>
    <w:rsid w:val="6D806684"/>
    <w:rsid w:val="6DA00AD4"/>
    <w:rsid w:val="6DDE7786"/>
    <w:rsid w:val="6DE41331"/>
    <w:rsid w:val="6DE970C6"/>
    <w:rsid w:val="6E0C7F17"/>
    <w:rsid w:val="6E315BD0"/>
    <w:rsid w:val="6E39717B"/>
    <w:rsid w:val="6E9F3C9F"/>
    <w:rsid w:val="6EB05630"/>
    <w:rsid w:val="6EB26D11"/>
    <w:rsid w:val="6EBC7B8F"/>
    <w:rsid w:val="6EBF1D89"/>
    <w:rsid w:val="6ED9017C"/>
    <w:rsid w:val="6F2B0871"/>
    <w:rsid w:val="6F6124E5"/>
    <w:rsid w:val="6F63000B"/>
    <w:rsid w:val="6F653D83"/>
    <w:rsid w:val="6F8B7727"/>
    <w:rsid w:val="6FC10684"/>
    <w:rsid w:val="6FCA2ACC"/>
    <w:rsid w:val="6FCF38F2"/>
    <w:rsid w:val="700F08C0"/>
    <w:rsid w:val="7019691C"/>
    <w:rsid w:val="70343755"/>
    <w:rsid w:val="704F0ED7"/>
    <w:rsid w:val="70531F74"/>
    <w:rsid w:val="705B714E"/>
    <w:rsid w:val="706F2E94"/>
    <w:rsid w:val="70980188"/>
    <w:rsid w:val="70D50A94"/>
    <w:rsid w:val="71353C29"/>
    <w:rsid w:val="713E0F09"/>
    <w:rsid w:val="714125CE"/>
    <w:rsid w:val="716C009F"/>
    <w:rsid w:val="718B571C"/>
    <w:rsid w:val="71933005"/>
    <w:rsid w:val="71C50B09"/>
    <w:rsid w:val="71C8684B"/>
    <w:rsid w:val="71D34078"/>
    <w:rsid w:val="71E73175"/>
    <w:rsid w:val="71FF5A0F"/>
    <w:rsid w:val="725D3437"/>
    <w:rsid w:val="727442DD"/>
    <w:rsid w:val="727B1329"/>
    <w:rsid w:val="72B15531"/>
    <w:rsid w:val="72C05AE3"/>
    <w:rsid w:val="72DA44FF"/>
    <w:rsid w:val="72EB15F3"/>
    <w:rsid w:val="72F8228F"/>
    <w:rsid w:val="72F86CBC"/>
    <w:rsid w:val="73025D8D"/>
    <w:rsid w:val="73216213"/>
    <w:rsid w:val="732301DD"/>
    <w:rsid w:val="733573AE"/>
    <w:rsid w:val="7338355D"/>
    <w:rsid w:val="733A72D5"/>
    <w:rsid w:val="733C4DFB"/>
    <w:rsid w:val="734463A5"/>
    <w:rsid w:val="738467A2"/>
    <w:rsid w:val="73A40BF2"/>
    <w:rsid w:val="73C848E1"/>
    <w:rsid w:val="73CB6DD9"/>
    <w:rsid w:val="73CF3EC1"/>
    <w:rsid w:val="73DC213A"/>
    <w:rsid w:val="73DE4104"/>
    <w:rsid w:val="73E01848"/>
    <w:rsid w:val="73E07E7C"/>
    <w:rsid w:val="7400407A"/>
    <w:rsid w:val="740A4EF9"/>
    <w:rsid w:val="740F250F"/>
    <w:rsid w:val="741E2752"/>
    <w:rsid w:val="742762A4"/>
    <w:rsid w:val="74324450"/>
    <w:rsid w:val="743632D6"/>
    <w:rsid w:val="743D707D"/>
    <w:rsid w:val="7440091B"/>
    <w:rsid w:val="7443665D"/>
    <w:rsid w:val="74634609"/>
    <w:rsid w:val="746E36DA"/>
    <w:rsid w:val="748624CE"/>
    <w:rsid w:val="748C0004"/>
    <w:rsid w:val="749869A9"/>
    <w:rsid w:val="74E22F5B"/>
    <w:rsid w:val="74E60521"/>
    <w:rsid w:val="74E7523A"/>
    <w:rsid w:val="75134281"/>
    <w:rsid w:val="7581743D"/>
    <w:rsid w:val="75821800"/>
    <w:rsid w:val="759973A3"/>
    <w:rsid w:val="75AA330D"/>
    <w:rsid w:val="75AF3FAA"/>
    <w:rsid w:val="75BE243F"/>
    <w:rsid w:val="75ED0FFC"/>
    <w:rsid w:val="75FC4D15"/>
    <w:rsid w:val="7601232C"/>
    <w:rsid w:val="763D5DF6"/>
    <w:rsid w:val="76452218"/>
    <w:rsid w:val="764741E2"/>
    <w:rsid w:val="76530DD9"/>
    <w:rsid w:val="766C3C49"/>
    <w:rsid w:val="767825EE"/>
    <w:rsid w:val="768A0573"/>
    <w:rsid w:val="76D33CC8"/>
    <w:rsid w:val="76E45ED5"/>
    <w:rsid w:val="76FD6F97"/>
    <w:rsid w:val="77037899"/>
    <w:rsid w:val="77276A3D"/>
    <w:rsid w:val="77383B2B"/>
    <w:rsid w:val="773C2D8E"/>
    <w:rsid w:val="7759227F"/>
    <w:rsid w:val="776A4BF9"/>
    <w:rsid w:val="776A7BFB"/>
    <w:rsid w:val="779D6084"/>
    <w:rsid w:val="77A17922"/>
    <w:rsid w:val="77AB445A"/>
    <w:rsid w:val="77D01FB6"/>
    <w:rsid w:val="77F71C38"/>
    <w:rsid w:val="780600CD"/>
    <w:rsid w:val="78083F5D"/>
    <w:rsid w:val="781E0F73"/>
    <w:rsid w:val="78280044"/>
    <w:rsid w:val="784A620C"/>
    <w:rsid w:val="784D3606"/>
    <w:rsid w:val="78852DA0"/>
    <w:rsid w:val="78961451"/>
    <w:rsid w:val="78BE2756"/>
    <w:rsid w:val="7901354B"/>
    <w:rsid w:val="793A2081"/>
    <w:rsid w:val="79420C91"/>
    <w:rsid w:val="794B223C"/>
    <w:rsid w:val="7956298E"/>
    <w:rsid w:val="795F0DA4"/>
    <w:rsid w:val="79A13C0A"/>
    <w:rsid w:val="79D33FDF"/>
    <w:rsid w:val="79F857F4"/>
    <w:rsid w:val="7A170370"/>
    <w:rsid w:val="7A1A39BC"/>
    <w:rsid w:val="7A2F16EC"/>
    <w:rsid w:val="7A820E9D"/>
    <w:rsid w:val="7A9633CD"/>
    <w:rsid w:val="7AD65B35"/>
    <w:rsid w:val="7ADB139D"/>
    <w:rsid w:val="7AEF33F7"/>
    <w:rsid w:val="7AEF4E49"/>
    <w:rsid w:val="7B2E5971"/>
    <w:rsid w:val="7B354F51"/>
    <w:rsid w:val="7B863B58"/>
    <w:rsid w:val="7BB52A0C"/>
    <w:rsid w:val="7BBD6CF5"/>
    <w:rsid w:val="7BE129E3"/>
    <w:rsid w:val="7C450A6E"/>
    <w:rsid w:val="7C683105"/>
    <w:rsid w:val="7CE3278B"/>
    <w:rsid w:val="7CF008DB"/>
    <w:rsid w:val="7D2D3A06"/>
    <w:rsid w:val="7D5316BF"/>
    <w:rsid w:val="7D605B8A"/>
    <w:rsid w:val="7D823D52"/>
    <w:rsid w:val="7DB163E5"/>
    <w:rsid w:val="7E0E6A9A"/>
    <w:rsid w:val="7E6F077A"/>
    <w:rsid w:val="7E751B09"/>
    <w:rsid w:val="7E7C2E97"/>
    <w:rsid w:val="7E800478"/>
    <w:rsid w:val="7E8D29AE"/>
    <w:rsid w:val="7E8F5FD9"/>
    <w:rsid w:val="7EC81C39"/>
    <w:rsid w:val="7EE97F06"/>
    <w:rsid w:val="7F5B2AAD"/>
    <w:rsid w:val="7F6776A3"/>
    <w:rsid w:val="7F7124E3"/>
    <w:rsid w:val="7F7E49ED"/>
    <w:rsid w:val="7FC41FE6"/>
    <w:rsid w:val="7FCC39AA"/>
    <w:rsid w:val="7FD36A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4"/>
    <w:autoRedefine/>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3"/>
    <w:basedOn w:val="1"/>
    <w:next w:val="1"/>
    <w:autoRedefine/>
    <w:qFormat/>
    <w:uiPriority w:val="0"/>
    <w:pPr>
      <w:keepNext/>
      <w:keepLines/>
      <w:autoSpaceDE w:val="0"/>
      <w:autoSpaceDN w:val="0"/>
      <w:adjustRightInd w:val="0"/>
      <w:spacing w:before="260" w:after="260" w:line="416" w:lineRule="atLeast"/>
      <w:jc w:val="left"/>
      <w:outlineLvl w:val="2"/>
    </w:pPr>
    <w:rPr>
      <w:rFonts w:hint="eastAsia" w:ascii="宋体" w:hAnsi="宋体"/>
      <w:b/>
      <w:sz w:val="32"/>
      <w:szCs w:val="20"/>
    </w:rPr>
  </w:style>
  <w:style w:type="paragraph" w:styleId="4">
    <w:name w:val="heading 4"/>
    <w:basedOn w:val="1"/>
    <w:next w:val="1"/>
    <w:autoRedefine/>
    <w:qFormat/>
    <w:uiPriority w:val="0"/>
    <w:pPr>
      <w:keepNext/>
      <w:jc w:val="center"/>
      <w:outlineLvl w:val="3"/>
    </w:pPr>
    <w:rPr>
      <w:rFonts w:eastAsia="新宋体"/>
      <w:kern w:val="0"/>
      <w:sz w:val="30"/>
      <w:szCs w:val="21"/>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Document Map"/>
    <w:basedOn w:val="1"/>
    <w:link w:val="45"/>
    <w:autoRedefine/>
    <w:semiHidden/>
    <w:unhideWhenUsed/>
    <w:qFormat/>
    <w:uiPriority w:val="0"/>
    <w:rPr>
      <w:rFonts w:ascii="Microsoft YaHei UI" w:eastAsia="Microsoft YaHei UI"/>
      <w:sz w:val="18"/>
      <w:szCs w:val="18"/>
    </w:rPr>
  </w:style>
  <w:style w:type="paragraph" w:styleId="7">
    <w:name w:val="Body Text"/>
    <w:basedOn w:val="1"/>
    <w:next w:val="1"/>
    <w:autoRedefine/>
    <w:qFormat/>
    <w:uiPriority w:val="0"/>
    <w:pPr>
      <w:spacing w:after="120"/>
    </w:pPr>
    <w:rPr>
      <w:rFonts w:ascii="Times New Roman" w:hAnsi="Times New Roman"/>
      <w:szCs w:val="20"/>
    </w:rPr>
  </w:style>
  <w:style w:type="paragraph" w:styleId="8">
    <w:name w:val="Body Text Indent"/>
    <w:basedOn w:val="1"/>
    <w:next w:val="9"/>
    <w:autoRedefine/>
    <w:qFormat/>
    <w:uiPriority w:val="0"/>
    <w:pPr>
      <w:ind w:left="420" w:leftChars="200"/>
    </w:pPr>
  </w:style>
  <w:style w:type="paragraph" w:styleId="9">
    <w:name w:val="envelope return"/>
    <w:basedOn w:val="1"/>
    <w:unhideWhenUsed/>
    <w:qFormat/>
    <w:uiPriority w:val="99"/>
    <w:pPr>
      <w:snapToGrid w:val="0"/>
    </w:pPr>
    <w:rPr>
      <w:rFonts w:ascii="Arial" w:hAnsi="Arial"/>
    </w:rPr>
  </w:style>
  <w:style w:type="paragraph" w:styleId="10">
    <w:name w:val="Plain Text"/>
    <w:basedOn w:val="1"/>
    <w:qFormat/>
    <w:uiPriority w:val="0"/>
    <w:rPr>
      <w:rFonts w:hint="eastAsia" w:ascii="宋体" w:hAnsi="Courier New"/>
      <w:szCs w:val="20"/>
    </w:rPr>
  </w:style>
  <w:style w:type="paragraph" w:styleId="11">
    <w:name w:val="footer"/>
    <w:basedOn w:val="1"/>
    <w:link w:val="42"/>
    <w:autoRedefine/>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semiHidden/>
    <w:qFormat/>
    <w:uiPriority w:val="0"/>
    <w:pPr>
      <w:tabs>
        <w:tab w:val="right" w:leader="dot" w:pos="9650"/>
      </w:tabs>
    </w:pPr>
    <w:rPr>
      <w:rFonts w:ascii="宋体" w:hAnsi="宋体"/>
      <w:b/>
      <w:bCs/>
      <w:iCs/>
      <w:snapToGrid w:val="0"/>
      <w:kern w:val="0"/>
      <w:sz w:val="24"/>
      <w:szCs w:val="28"/>
    </w:rPr>
  </w:style>
  <w:style w:type="paragraph" w:styleId="14">
    <w:name w:val="Body Text 2"/>
    <w:basedOn w:val="1"/>
    <w:qFormat/>
    <w:uiPriority w:val="0"/>
    <w:pPr>
      <w:spacing w:after="120" w:line="480" w:lineRule="auto"/>
    </w:pPr>
    <w:rPr>
      <w:kern w:val="1"/>
    </w:rPr>
  </w:style>
  <w:style w:type="paragraph" w:styleId="15">
    <w:name w:val="Normal (Web)"/>
    <w:basedOn w:val="1"/>
    <w:next w:val="16"/>
    <w:autoRedefine/>
    <w:qFormat/>
    <w:uiPriority w:val="0"/>
    <w:pPr>
      <w:widowControl/>
      <w:spacing w:before="100" w:beforeAutospacing="1" w:after="100" w:afterAutospacing="1"/>
      <w:jc w:val="left"/>
    </w:pPr>
    <w:rPr>
      <w:rFonts w:hint="eastAsia" w:ascii="Arial Unicode MS" w:hAnsi="Arial Unicode MS"/>
      <w:kern w:val="0"/>
      <w:sz w:val="24"/>
      <w:szCs w:val="20"/>
    </w:rPr>
  </w:style>
  <w:style w:type="paragraph" w:customStyle="1" w:styleId="16">
    <w:name w:val="*正文"/>
    <w:basedOn w:val="1"/>
    <w:qFormat/>
    <w:uiPriority w:val="0"/>
    <w:rPr>
      <w:rFonts w:ascii="宋体" w:hAnsi="宋体"/>
      <w:kern w:val="0"/>
    </w:rPr>
  </w:style>
  <w:style w:type="paragraph" w:styleId="17">
    <w:name w:val="Body Text First Indent"/>
    <w:basedOn w:val="7"/>
    <w:qFormat/>
    <w:uiPriority w:val="0"/>
    <w:pPr>
      <w:ind w:firstLine="420" w:firstLineChars="100"/>
    </w:pPr>
  </w:style>
  <w:style w:type="paragraph" w:styleId="18">
    <w:name w:val="Body Text First Indent 2"/>
    <w:basedOn w:val="8"/>
    <w:qFormat/>
    <w:uiPriority w:val="0"/>
    <w:pPr>
      <w:spacing w:after="120"/>
      <w:ind w:firstLine="420" w:firstLineChars="200"/>
    </w:pPr>
    <w:rPr>
      <w:rFonts w:ascii="Times New Roman" w:hAnsi="Times New Roman"/>
      <w:szCs w:val="20"/>
    </w:rPr>
  </w:style>
  <w:style w:type="table" w:styleId="20">
    <w:name w:val="Table Grid"/>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FollowedHyperlink"/>
    <w:autoRedefine/>
    <w:qFormat/>
    <w:uiPriority w:val="0"/>
    <w:rPr>
      <w:color w:val="800080"/>
      <w:u w:val="none"/>
    </w:rPr>
  </w:style>
  <w:style w:type="character" w:styleId="24">
    <w:name w:val="HTML Definition"/>
    <w:basedOn w:val="21"/>
    <w:autoRedefine/>
    <w:qFormat/>
    <w:uiPriority w:val="0"/>
  </w:style>
  <w:style w:type="character" w:styleId="25">
    <w:name w:val="HTML Typewriter"/>
    <w:basedOn w:val="21"/>
    <w:autoRedefine/>
    <w:qFormat/>
    <w:uiPriority w:val="0"/>
    <w:rPr>
      <w:rFonts w:hint="default" w:ascii="monospace" w:hAnsi="monospace" w:eastAsia="monospace" w:cs="monospace"/>
      <w:sz w:val="20"/>
    </w:rPr>
  </w:style>
  <w:style w:type="character" w:styleId="26">
    <w:name w:val="HTML Acronym"/>
    <w:basedOn w:val="21"/>
    <w:autoRedefine/>
    <w:qFormat/>
    <w:uiPriority w:val="0"/>
  </w:style>
  <w:style w:type="character" w:styleId="27">
    <w:name w:val="HTML Variable"/>
    <w:basedOn w:val="21"/>
    <w:autoRedefine/>
    <w:qFormat/>
    <w:uiPriority w:val="0"/>
  </w:style>
  <w:style w:type="character" w:styleId="28">
    <w:name w:val="Hyperlink"/>
    <w:basedOn w:val="21"/>
    <w:autoRedefine/>
    <w:qFormat/>
    <w:uiPriority w:val="0"/>
    <w:rPr>
      <w:color w:val="0000FF"/>
      <w:u w:val="none"/>
    </w:rPr>
  </w:style>
  <w:style w:type="character" w:styleId="29">
    <w:name w:val="HTML Code"/>
    <w:basedOn w:val="21"/>
    <w:autoRedefine/>
    <w:qFormat/>
    <w:uiPriority w:val="0"/>
    <w:rPr>
      <w:rFonts w:ascii="monospace" w:hAnsi="monospace" w:eastAsia="monospace" w:cs="monospace"/>
      <w:sz w:val="20"/>
    </w:rPr>
  </w:style>
  <w:style w:type="character" w:styleId="30">
    <w:name w:val="HTML Cite"/>
    <w:basedOn w:val="21"/>
    <w:autoRedefine/>
    <w:qFormat/>
    <w:uiPriority w:val="0"/>
  </w:style>
  <w:style w:type="character" w:styleId="31">
    <w:name w:val="HTML Keyboard"/>
    <w:basedOn w:val="21"/>
    <w:autoRedefine/>
    <w:qFormat/>
    <w:uiPriority w:val="0"/>
    <w:rPr>
      <w:rFonts w:hint="default" w:ascii="monospace" w:hAnsi="monospace" w:eastAsia="monospace" w:cs="monospace"/>
      <w:sz w:val="20"/>
    </w:rPr>
  </w:style>
  <w:style w:type="character" w:styleId="32">
    <w:name w:val="HTML Sample"/>
    <w:basedOn w:val="21"/>
    <w:autoRedefine/>
    <w:qFormat/>
    <w:uiPriority w:val="0"/>
    <w:rPr>
      <w:rFonts w:hint="default" w:ascii="monospace" w:hAnsi="monospace" w:eastAsia="monospace" w:cs="monospace"/>
    </w:rPr>
  </w:style>
  <w:style w:type="paragraph" w:customStyle="1" w:styleId="33">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4">
    <w:name w:val="二级目录"/>
    <w:basedOn w:val="1"/>
    <w:next w:val="1"/>
    <w:autoRedefine/>
    <w:qFormat/>
    <w:uiPriority w:val="0"/>
    <w:pPr>
      <w:widowControl/>
      <w:tabs>
        <w:tab w:val="left" w:pos="720"/>
      </w:tabs>
      <w:ind w:left="720" w:hanging="720"/>
      <w:jc w:val="left"/>
      <w:outlineLvl w:val="1"/>
    </w:pPr>
    <w:rPr>
      <w:rFonts w:ascii="Times New Roman" w:hAnsi="Times New Roman"/>
      <w:b/>
      <w:sz w:val="30"/>
      <w:szCs w:val="28"/>
    </w:rPr>
  </w:style>
  <w:style w:type="paragraph" w:customStyle="1" w:styleId="35">
    <w:name w:val="首行缩进"/>
    <w:basedOn w:val="1"/>
    <w:autoRedefine/>
    <w:qFormat/>
    <w:uiPriority w:val="0"/>
    <w:pPr>
      <w:spacing w:line="360" w:lineRule="auto"/>
      <w:ind w:firstLine="480" w:firstLineChars="200"/>
    </w:pPr>
    <w:rPr>
      <w:rFonts w:ascii="Times New Roman" w:hAnsi="Times New Roman"/>
      <w:szCs w:val="20"/>
    </w:rPr>
  </w:style>
  <w:style w:type="character" w:customStyle="1" w:styleId="36">
    <w:name w:val="first-child"/>
    <w:basedOn w:val="21"/>
    <w:autoRedefine/>
    <w:qFormat/>
    <w:uiPriority w:val="0"/>
  </w:style>
  <w:style w:type="character" w:customStyle="1" w:styleId="37">
    <w:name w:val="hover2"/>
    <w:basedOn w:val="21"/>
    <w:autoRedefine/>
    <w:qFormat/>
    <w:uiPriority w:val="0"/>
    <w:rPr>
      <w:color w:val="5FB878"/>
    </w:rPr>
  </w:style>
  <w:style w:type="character" w:customStyle="1" w:styleId="38">
    <w:name w:val="hover3"/>
    <w:basedOn w:val="21"/>
    <w:autoRedefine/>
    <w:qFormat/>
    <w:uiPriority w:val="0"/>
    <w:rPr>
      <w:color w:val="5FB878"/>
    </w:rPr>
  </w:style>
  <w:style w:type="character" w:customStyle="1" w:styleId="39">
    <w:name w:val="hover4"/>
    <w:basedOn w:val="21"/>
    <w:autoRedefine/>
    <w:qFormat/>
    <w:uiPriority w:val="0"/>
    <w:rPr>
      <w:color w:val="FFFFFF"/>
    </w:rPr>
  </w:style>
  <w:style w:type="character" w:customStyle="1" w:styleId="40">
    <w:name w:val="layui-this"/>
    <w:basedOn w:val="21"/>
    <w:autoRedefine/>
    <w:qFormat/>
    <w:uiPriority w:val="0"/>
    <w:rPr>
      <w:bdr w:val="single" w:color="EEEEEE" w:sz="6" w:space="0"/>
      <w:shd w:val="clear" w:color="auto" w:fill="FFFFFF"/>
    </w:rPr>
  </w:style>
  <w:style w:type="paragraph" w:customStyle="1" w:styleId="41">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character" w:customStyle="1" w:styleId="42">
    <w:name w:val="页脚 Char"/>
    <w:basedOn w:val="21"/>
    <w:link w:val="11"/>
    <w:autoRedefine/>
    <w:qFormat/>
    <w:uiPriority w:val="99"/>
    <w:rPr>
      <w:rFonts w:ascii="Calibri" w:hAnsi="Calibri"/>
      <w:kern w:val="2"/>
      <w:sz w:val="18"/>
      <w:szCs w:val="24"/>
    </w:rPr>
  </w:style>
  <w:style w:type="paragraph" w:styleId="43">
    <w:name w:val="List Paragraph"/>
    <w:basedOn w:val="1"/>
    <w:autoRedefine/>
    <w:qFormat/>
    <w:uiPriority w:val="99"/>
    <w:pPr>
      <w:ind w:firstLine="420" w:firstLineChars="200"/>
    </w:pPr>
  </w:style>
  <w:style w:type="character" w:customStyle="1" w:styleId="44">
    <w:name w:val="标题 1 Char"/>
    <w:link w:val="2"/>
    <w:autoRedefine/>
    <w:qFormat/>
    <w:uiPriority w:val="0"/>
    <w:rPr>
      <w:b/>
      <w:kern w:val="44"/>
      <w:sz w:val="44"/>
    </w:rPr>
  </w:style>
  <w:style w:type="character" w:customStyle="1" w:styleId="45">
    <w:name w:val="文档结构图 Char"/>
    <w:basedOn w:val="21"/>
    <w:link w:val="6"/>
    <w:autoRedefine/>
    <w:semiHidden/>
    <w:qFormat/>
    <w:uiPriority w:val="0"/>
    <w:rPr>
      <w:rFonts w:ascii="Microsoft YaHei UI" w:hAnsi="Calibri" w:eastAsia="Microsoft YaHei UI"/>
      <w:kern w:val="2"/>
      <w:sz w:val="18"/>
      <w:szCs w:val="18"/>
    </w:rPr>
  </w:style>
  <w:style w:type="character" w:customStyle="1" w:styleId="46">
    <w:name w:val="font21"/>
    <w:basedOn w:val="21"/>
    <w:autoRedefine/>
    <w:qFormat/>
    <w:uiPriority w:val="0"/>
    <w:rPr>
      <w:rFonts w:hint="eastAsia" w:ascii="微软雅黑" w:hAnsi="微软雅黑" w:eastAsia="微软雅黑" w:cs="微软雅黑"/>
      <w:color w:val="000000"/>
      <w:sz w:val="20"/>
      <w:szCs w:val="20"/>
      <w:u w:val="none"/>
    </w:rPr>
  </w:style>
  <w:style w:type="character" w:customStyle="1" w:styleId="47">
    <w:name w:val="font41"/>
    <w:basedOn w:val="21"/>
    <w:autoRedefine/>
    <w:qFormat/>
    <w:uiPriority w:val="0"/>
    <w:rPr>
      <w:rFonts w:ascii="Arial" w:hAnsi="Arial" w:cs="Arial"/>
      <w:color w:val="000000"/>
      <w:sz w:val="20"/>
      <w:szCs w:val="20"/>
      <w:u w:val="none"/>
    </w:rPr>
  </w:style>
  <w:style w:type="character" w:customStyle="1" w:styleId="48">
    <w:name w:val="font51"/>
    <w:basedOn w:val="21"/>
    <w:autoRedefine/>
    <w:qFormat/>
    <w:uiPriority w:val="0"/>
    <w:rPr>
      <w:rFonts w:hint="eastAsia" w:ascii="宋体" w:hAnsi="宋体" w:eastAsia="宋体" w:cs="宋体"/>
      <w:color w:val="000000"/>
      <w:sz w:val="24"/>
      <w:szCs w:val="24"/>
      <w:u w:val="none"/>
    </w:rPr>
  </w:style>
  <w:style w:type="character" w:customStyle="1" w:styleId="49">
    <w:name w:val="font61"/>
    <w:basedOn w:val="21"/>
    <w:autoRedefine/>
    <w:qFormat/>
    <w:uiPriority w:val="0"/>
    <w:rPr>
      <w:rFonts w:hint="eastAsia" w:ascii="宋体" w:hAnsi="宋体" w:eastAsia="宋体" w:cs="宋体"/>
      <w:b/>
      <w:bCs/>
      <w:color w:val="000000"/>
      <w:sz w:val="24"/>
      <w:szCs w:val="24"/>
      <w:u w:val="none"/>
    </w:rPr>
  </w:style>
  <w:style w:type="character" w:customStyle="1" w:styleId="50">
    <w:name w:val="NormalCharacter"/>
    <w:qFormat/>
    <w:uiPriority w:val="0"/>
    <w:rPr>
      <w:rFonts w:ascii="Times New Roman" w:hAnsi="Times New Roman" w:eastAsia="宋体" w:cs="Times New Roman"/>
      <w:kern w:val="2"/>
      <w:sz w:val="21"/>
      <w:szCs w:val="24"/>
      <w:lang w:val="en-US" w:eastAsia="zh-CN" w:bidi="ar-SA"/>
    </w:rPr>
  </w:style>
  <w:style w:type="paragraph" w:customStyle="1" w:styleId="51">
    <w:name w:val="正文首行缩进 21"/>
    <w:basedOn w:val="52"/>
    <w:qFormat/>
    <w:uiPriority w:val="0"/>
    <w:pPr>
      <w:spacing w:after="120"/>
      <w:ind w:firstLine="200"/>
    </w:pPr>
  </w:style>
  <w:style w:type="paragraph" w:customStyle="1" w:styleId="52">
    <w:name w:val="正文文本缩进1"/>
    <w:basedOn w:val="1"/>
    <w:qFormat/>
    <w:uiPriority w:val="0"/>
    <w:pPr>
      <w:ind w:left="765"/>
    </w:pPr>
    <w:rPr>
      <w:rFonts w:ascii="仿宋_GB2312" w:eastAsia="仿宋_GB2312"/>
      <w:sz w:val="28"/>
      <w:szCs w:val="20"/>
    </w:rPr>
  </w:style>
  <w:style w:type="paragraph" w:customStyle="1" w:styleId="53">
    <w:name w:val="正文文本1"/>
    <w:basedOn w:val="1"/>
    <w:next w:val="1"/>
    <w:qFormat/>
    <w:uiPriority w:val="0"/>
    <w:rPr>
      <w:rFonts w:ascii="仿宋_GB2312" w:eastAsia="仿宋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13085</Words>
  <Characters>13638</Characters>
  <Lines>101</Lines>
  <Paragraphs>28</Paragraphs>
  <TotalTime>16</TotalTime>
  <ScaleCrop>false</ScaleCrop>
  <LinksUpToDate>false</LinksUpToDate>
  <CharactersWithSpaces>14106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2021-11-08T09:01:00Z</dcterms:created>
  <dc:creator>Administrator</dc:creator>
  <cp:lastModifiedBy>九五年的情书.</cp:lastModifiedBy>
  <cp:lastPrinted>2025-04-28T03:01:00Z</cp:lastPrinted>
  <dcterms:modified xsi:type="dcterms:W3CDTF">2026-01-29T02:21:31Z</dcterms:modified>
  <cp:revision>438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BB81D45DB3B2443295BE92AA714C9F82_13</vt:lpwstr>
  </property>
  <property fmtid="{D5CDD505-2E9C-101B-9397-08002B2CF9AE}" pid="4" name="KSOTemplateDocerSaveRecord">
    <vt:lpwstr>eyJoZGlkIjoiMzEzYzAxOWNkY2RiMmE0OTVjZDYzMGI1ZDNhZjdhMzEiLCJ1c2VySWQiOiI0MTEyMDI2OTMifQ==</vt:lpwstr>
  </property>
</Properties>
</file>